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2F586" w14:textId="4BEAC55D" w:rsidR="00CB2929" w:rsidRDefault="00E70B22">
      <w:pPr>
        <w:pStyle w:val="BodyText"/>
        <w:spacing w:before="15"/>
        <w:ind w:left="0"/>
        <w:rPr>
          <w:rFonts w:ascii="Times New Roman"/>
          <w:sz w:val="22"/>
        </w:rPr>
      </w:pPr>
      <w:r w:rsidRPr="002B0FD8">
        <w:rPr>
          <w:noProof/>
        </w:rPr>
        <w:drawing>
          <wp:anchor distT="0" distB="0" distL="114300" distR="114300" simplePos="0" relativeHeight="251659264" behindDoc="1" locked="0" layoutInCell="1" allowOverlap="1" wp14:anchorId="028BBCEF" wp14:editId="77C274C1">
            <wp:simplePos x="0" y="0"/>
            <wp:positionH relativeFrom="column">
              <wp:posOffset>682625</wp:posOffset>
            </wp:positionH>
            <wp:positionV relativeFrom="paragraph">
              <wp:posOffset>-548005</wp:posOffset>
            </wp:positionV>
            <wp:extent cx="1914525" cy="855345"/>
            <wp:effectExtent l="0" t="0" r="9525" b="1905"/>
            <wp:wrapNone/>
            <wp:docPr id="1806339185" name="Picture 2" descr="A blue and orang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22386" name="Picture 2" descr="A blue and orang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B34FE46" wp14:editId="029DA7E4">
            <wp:simplePos x="0" y="0"/>
            <wp:positionH relativeFrom="column">
              <wp:posOffset>3248660</wp:posOffset>
            </wp:positionH>
            <wp:positionV relativeFrom="paragraph">
              <wp:posOffset>-592455</wp:posOffset>
            </wp:positionV>
            <wp:extent cx="2190176" cy="904793"/>
            <wp:effectExtent l="0" t="0" r="635" b="0"/>
            <wp:wrapNone/>
            <wp:docPr id="419970776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76" cy="90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48822" w14:textId="32A0A2ED" w:rsidR="00D602C9" w:rsidRDefault="00D602C9">
      <w:pPr>
        <w:ind w:left="5"/>
        <w:jc w:val="center"/>
        <w:rPr>
          <w:b/>
        </w:rPr>
      </w:pPr>
    </w:p>
    <w:p w14:paraId="17CF07F7" w14:textId="4427F4E5" w:rsidR="00D602C9" w:rsidRDefault="00D602C9">
      <w:pPr>
        <w:ind w:left="5"/>
        <w:jc w:val="center"/>
        <w:rPr>
          <w:b/>
        </w:rPr>
      </w:pPr>
    </w:p>
    <w:p w14:paraId="317A3562" w14:textId="77777777" w:rsidR="00E70B22" w:rsidRDefault="00E70B22">
      <w:pPr>
        <w:ind w:left="5"/>
        <w:jc w:val="center"/>
        <w:rPr>
          <w:b/>
        </w:rPr>
      </w:pPr>
    </w:p>
    <w:p w14:paraId="7EF2F587" w14:textId="77D7406A" w:rsidR="00CB2929" w:rsidRDefault="00882BDC">
      <w:pPr>
        <w:ind w:left="5"/>
        <w:jc w:val="center"/>
        <w:rPr>
          <w:b/>
        </w:rPr>
      </w:pPr>
      <w:r>
        <w:rPr>
          <w:b/>
        </w:rPr>
        <w:t>FAQ</w:t>
      </w:r>
      <w:r>
        <w:rPr>
          <w:b/>
          <w:spacing w:val="-13"/>
        </w:rPr>
        <w:t xml:space="preserve"> </w:t>
      </w:r>
      <w:r>
        <w:rPr>
          <w:b/>
        </w:rPr>
        <w:t>on</w:t>
      </w:r>
      <w:r>
        <w:rPr>
          <w:b/>
          <w:spacing w:val="-11"/>
        </w:rPr>
        <w:t xml:space="preserve"> </w:t>
      </w:r>
      <w:r>
        <w:rPr>
          <w:b/>
        </w:rPr>
        <w:t>Programmatic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Partnership:</w:t>
      </w:r>
    </w:p>
    <w:p w14:paraId="7EF2F588" w14:textId="77777777" w:rsidR="00CB2929" w:rsidRDefault="00882BDC">
      <w:pPr>
        <w:spacing w:before="2"/>
        <w:ind w:left="5" w:right="3"/>
        <w:jc w:val="center"/>
        <w:rPr>
          <w:b/>
        </w:rPr>
      </w:pPr>
      <w:r>
        <w:rPr>
          <w:b/>
        </w:rPr>
        <w:t>Early</w:t>
      </w:r>
      <w:r>
        <w:rPr>
          <w:b/>
          <w:spacing w:val="-7"/>
        </w:rPr>
        <w:t xml:space="preserve"> </w:t>
      </w:r>
      <w:r>
        <w:rPr>
          <w:b/>
        </w:rPr>
        <w:t>Childhood</w:t>
      </w:r>
      <w:r>
        <w:rPr>
          <w:b/>
          <w:spacing w:val="-6"/>
        </w:rPr>
        <w:t xml:space="preserve"> </w:t>
      </w:r>
      <w:r>
        <w:rPr>
          <w:b/>
        </w:rPr>
        <w:t>Intervention</w:t>
      </w:r>
      <w:r>
        <w:rPr>
          <w:b/>
          <w:spacing w:val="-6"/>
        </w:rPr>
        <w:t xml:space="preserve"> </w:t>
      </w:r>
      <w:r>
        <w:rPr>
          <w:b/>
        </w:rPr>
        <w:t>Personnel</w:t>
      </w:r>
      <w:r>
        <w:rPr>
          <w:b/>
          <w:spacing w:val="-7"/>
        </w:rPr>
        <w:t xml:space="preserve"> </w:t>
      </w:r>
      <w:r>
        <w:rPr>
          <w:b/>
        </w:rPr>
        <w:t>Center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Equity</w:t>
      </w:r>
      <w:r>
        <w:rPr>
          <w:b/>
          <w:spacing w:val="-7"/>
        </w:rPr>
        <w:t xml:space="preserve"> </w:t>
      </w:r>
      <w:r>
        <w:rPr>
          <w:b/>
        </w:rPr>
        <w:t>+</w:t>
      </w:r>
      <w:r>
        <w:rPr>
          <w:b/>
          <w:spacing w:val="-7"/>
        </w:rPr>
        <w:t xml:space="preserve"> </w:t>
      </w:r>
      <w:r>
        <w:rPr>
          <w:b/>
        </w:rPr>
        <w:t>Holmes</w:t>
      </w:r>
      <w:r>
        <w:rPr>
          <w:b/>
          <w:spacing w:val="-6"/>
        </w:rPr>
        <w:t xml:space="preserve"> </w:t>
      </w: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Partnership</w:t>
      </w:r>
    </w:p>
    <w:p w14:paraId="7EF2F589" w14:textId="77777777" w:rsidR="00CB2929" w:rsidRDefault="00CB2929">
      <w:pPr>
        <w:pStyle w:val="BodyText"/>
        <w:spacing w:before="183"/>
        <w:ind w:left="0"/>
        <w:rPr>
          <w:b/>
          <w:sz w:val="22"/>
        </w:rPr>
      </w:pPr>
    </w:p>
    <w:p w14:paraId="7EF2F58A" w14:textId="77777777" w:rsidR="00CB2929" w:rsidRDefault="00882BDC">
      <w:pPr>
        <w:ind w:left="100"/>
        <w:rPr>
          <w:b/>
        </w:rPr>
      </w:pPr>
      <w:r>
        <w:rPr>
          <w:b/>
          <w:color w:val="2D74B5"/>
          <w:u w:val="single" w:color="2D74B5"/>
        </w:rPr>
        <w:t>Who</w:t>
      </w:r>
      <w:r>
        <w:rPr>
          <w:b/>
          <w:color w:val="2D74B5"/>
          <w:spacing w:val="-4"/>
          <w:u w:val="single" w:color="2D74B5"/>
        </w:rPr>
        <w:t xml:space="preserve"> </w:t>
      </w:r>
      <w:r>
        <w:rPr>
          <w:b/>
          <w:color w:val="2D74B5"/>
          <w:u w:val="single" w:color="2D74B5"/>
        </w:rPr>
        <w:t>are</w:t>
      </w:r>
      <w:r>
        <w:rPr>
          <w:b/>
          <w:color w:val="2D74B5"/>
          <w:spacing w:val="-4"/>
          <w:u w:val="single" w:color="2D74B5"/>
        </w:rPr>
        <w:t xml:space="preserve"> </w:t>
      </w:r>
      <w:r>
        <w:rPr>
          <w:b/>
          <w:color w:val="2D74B5"/>
          <w:u w:val="single" w:color="2D74B5"/>
        </w:rPr>
        <w:t>the</w:t>
      </w:r>
      <w:r>
        <w:rPr>
          <w:b/>
          <w:color w:val="2D74B5"/>
          <w:spacing w:val="-5"/>
          <w:u w:val="single" w:color="2D74B5"/>
        </w:rPr>
        <w:t xml:space="preserve"> </w:t>
      </w:r>
      <w:r>
        <w:rPr>
          <w:b/>
          <w:color w:val="2D74B5"/>
          <w:u w:val="single" w:color="2D74B5"/>
        </w:rPr>
        <w:t>program</w:t>
      </w:r>
      <w:r>
        <w:rPr>
          <w:b/>
          <w:color w:val="2D74B5"/>
          <w:spacing w:val="-2"/>
          <w:u w:val="single" w:color="2D74B5"/>
        </w:rPr>
        <w:t xml:space="preserve"> partners?</w:t>
      </w:r>
    </w:p>
    <w:p w14:paraId="7EF2F58C" w14:textId="43E41DCF" w:rsidR="00CB2929" w:rsidRPr="006702C8" w:rsidRDefault="006C3742" w:rsidP="00A717F6">
      <w:pPr>
        <w:pStyle w:val="ListParagraph"/>
        <w:numPr>
          <w:ilvl w:val="0"/>
          <w:numId w:val="1"/>
        </w:numPr>
        <w:tabs>
          <w:tab w:val="left" w:pos="821"/>
        </w:tabs>
        <w:spacing w:line="256" w:lineRule="auto"/>
        <w:ind w:right="135"/>
        <w:rPr>
          <w:rFonts w:ascii="Segoe UI"/>
          <w:sz w:val="18"/>
        </w:rPr>
      </w:pPr>
      <w:hyperlink r:id="rId11">
        <w:r w:rsidR="00882BDC" w:rsidRPr="006702C8">
          <w:rPr>
            <w:b/>
            <w:color w:val="0562C1"/>
            <w:sz w:val="20"/>
            <w:u w:val="single" w:color="0562C1"/>
          </w:rPr>
          <w:t>Early</w:t>
        </w:r>
        <w:r w:rsidR="00882BDC" w:rsidRPr="006702C8">
          <w:rPr>
            <w:b/>
            <w:color w:val="0562C1"/>
            <w:spacing w:val="-5"/>
            <w:sz w:val="20"/>
            <w:u w:val="single" w:color="0562C1"/>
          </w:rPr>
          <w:t xml:space="preserve"> </w:t>
        </w:r>
        <w:r w:rsidR="00882BDC" w:rsidRPr="006702C8">
          <w:rPr>
            <w:b/>
            <w:color w:val="0562C1"/>
            <w:sz w:val="20"/>
            <w:u w:val="single" w:color="0562C1"/>
          </w:rPr>
          <w:t>Childhood</w:t>
        </w:r>
        <w:r w:rsidR="00882BDC" w:rsidRPr="006702C8">
          <w:rPr>
            <w:b/>
            <w:color w:val="0562C1"/>
            <w:spacing w:val="-8"/>
            <w:sz w:val="20"/>
            <w:u w:val="single" w:color="0562C1"/>
          </w:rPr>
          <w:t xml:space="preserve"> </w:t>
        </w:r>
        <w:r w:rsidR="00882BDC" w:rsidRPr="006702C8">
          <w:rPr>
            <w:b/>
            <w:color w:val="0562C1"/>
            <w:sz w:val="20"/>
            <w:u w:val="single" w:color="0562C1"/>
          </w:rPr>
          <w:t>Intervention</w:t>
        </w:r>
        <w:r w:rsidR="00882BDC" w:rsidRPr="006702C8">
          <w:rPr>
            <w:b/>
            <w:color w:val="0562C1"/>
            <w:spacing w:val="-8"/>
            <w:sz w:val="20"/>
            <w:u w:val="single" w:color="0562C1"/>
          </w:rPr>
          <w:t xml:space="preserve"> </w:t>
        </w:r>
        <w:r w:rsidR="00882BDC" w:rsidRPr="006702C8">
          <w:rPr>
            <w:b/>
            <w:color w:val="0562C1"/>
            <w:sz w:val="20"/>
            <w:u w:val="single" w:color="0562C1"/>
          </w:rPr>
          <w:t>Personnel</w:t>
        </w:r>
        <w:r w:rsidR="00882BDC" w:rsidRPr="006702C8">
          <w:rPr>
            <w:b/>
            <w:color w:val="0562C1"/>
            <w:spacing w:val="-5"/>
            <w:sz w:val="20"/>
            <w:u w:val="single" w:color="0562C1"/>
          </w:rPr>
          <w:t xml:space="preserve"> </w:t>
        </w:r>
        <w:r w:rsidR="00882BDC" w:rsidRPr="006702C8">
          <w:rPr>
            <w:b/>
            <w:color w:val="0562C1"/>
            <w:sz w:val="20"/>
            <w:u w:val="single" w:color="0562C1"/>
          </w:rPr>
          <w:t>Center</w:t>
        </w:r>
        <w:r w:rsidR="00882BDC" w:rsidRPr="006702C8">
          <w:rPr>
            <w:b/>
            <w:color w:val="0562C1"/>
            <w:spacing w:val="-7"/>
            <w:sz w:val="20"/>
            <w:u w:val="single" w:color="0562C1"/>
          </w:rPr>
          <w:t xml:space="preserve"> </w:t>
        </w:r>
        <w:r w:rsidR="00882BDC" w:rsidRPr="006702C8">
          <w:rPr>
            <w:b/>
            <w:color w:val="0562C1"/>
            <w:sz w:val="20"/>
            <w:u w:val="single" w:color="0562C1"/>
          </w:rPr>
          <w:t>for</w:t>
        </w:r>
        <w:r w:rsidR="00882BDC" w:rsidRPr="006702C8">
          <w:rPr>
            <w:b/>
            <w:color w:val="0562C1"/>
            <w:spacing w:val="-3"/>
            <w:sz w:val="20"/>
            <w:u w:val="single" w:color="0562C1"/>
          </w:rPr>
          <w:t xml:space="preserve"> </w:t>
        </w:r>
        <w:r w:rsidR="00882BDC" w:rsidRPr="006702C8">
          <w:rPr>
            <w:b/>
            <w:color w:val="0562C1"/>
            <w:sz w:val="20"/>
            <w:u w:val="single" w:color="0562C1"/>
          </w:rPr>
          <w:t>Equity</w:t>
        </w:r>
        <w:r w:rsidR="00882BDC" w:rsidRPr="006702C8">
          <w:rPr>
            <w:b/>
            <w:color w:val="0562C1"/>
            <w:spacing w:val="-5"/>
            <w:sz w:val="20"/>
            <w:u w:val="single" w:color="0562C1"/>
          </w:rPr>
          <w:t xml:space="preserve"> </w:t>
        </w:r>
      </w:hyperlink>
      <w:r w:rsidR="00882BDC" w:rsidRPr="006702C8">
        <w:rPr>
          <w:b/>
          <w:color w:val="0562C1"/>
          <w:spacing w:val="-2"/>
          <w:sz w:val="20"/>
        </w:rPr>
        <w:t xml:space="preserve"> </w:t>
      </w:r>
      <w:r w:rsidR="00882BDC" w:rsidRPr="006702C8">
        <w:rPr>
          <w:b/>
          <w:sz w:val="20"/>
        </w:rPr>
        <w:t>–</w:t>
      </w:r>
      <w:r w:rsidR="00882BDC" w:rsidRPr="006702C8">
        <w:rPr>
          <w:b/>
          <w:spacing w:val="-5"/>
          <w:sz w:val="20"/>
        </w:rPr>
        <w:t xml:space="preserve"> </w:t>
      </w:r>
      <w:r w:rsidR="00882BDC" w:rsidRPr="006702C8">
        <w:rPr>
          <w:sz w:val="20"/>
        </w:rPr>
        <w:t>The</w:t>
      </w:r>
      <w:r w:rsidR="00882BDC" w:rsidRPr="006702C8">
        <w:rPr>
          <w:spacing w:val="-5"/>
          <w:sz w:val="20"/>
        </w:rPr>
        <w:t xml:space="preserve"> </w:t>
      </w:r>
      <w:r w:rsidR="00882BDC" w:rsidRPr="006702C8">
        <w:rPr>
          <w:sz w:val="20"/>
        </w:rPr>
        <w:t>ECIPC</w:t>
      </w:r>
      <w:r w:rsidR="006702C8" w:rsidRPr="006702C8">
        <w:rPr>
          <w:sz w:val="20"/>
        </w:rPr>
        <w:t>-</w:t>
      </w:r>
      <w:r w:rsidR="00882BDC" w:rsidRPr="006702C8">
        <w:rPr>
          <w:sz w:val="20"/>
        </w:rPr>
        <w:t>E</w:t>
      </w:r>
      <w:r w:rsidR="006702C8" w:rsidRPr="006702C8">
        <w:rPr>
          <w:sz w:val="20"/>
        </w:rPr>
        <w:t>quity</w:t>
      </w:r>
      <w:r w:rsidR="00882BDC" w:rsidRPr="006702C8">
        <w:rPr>
          <w:spacing w:val="-3"/>
          <w:sz w:val="20"/>
        </w:rPr>
        <w:t xml:space="preserve"> </w:t>
      </w:r>
      <w:r w:rsidR="00882BDC" w:rsidRPr="006702C8">
        <w:rPr>
          <w:sz w:val="20"/>
        </w:rPr>
        <w:t>at</w:t>
      </w:r>
      <w:r w:rsidR="00882BDC" w:rsidRPr="006702C8">
        <w:rPr>
          <w:spacing w:val="-8"/>
          <w:sz w:val="20"/>
        </w:rPr>
        <w:t xml:space="preserve"> </w:t>
      </w:r>
      <w:r w:rsidR="00882BDC" w:rsidRPr="006702C8">
        <w:rPr>
          <w:sz w:val="20"/>
        </w:rPr>
        <w:t>the</w:t>
      </w:r>
      <w:r w:rsidR="00882BDC" w:rsidRPr="006702C8">
        <w:rPr>
          <w:spacing w:val="-5"/>
          <w:sz w:val="20"/>
        </w:rPr>
        <w:t xml:space="preserve"> </w:t>
      </w:r>
      <w:r w:rsidR="00882BDC" w:rsidRPr="006702C8">
        <w:rPr>
          <w:sz w:val="20"/>
        </w:rPr>
        <w:t>University</w:t>
      </w:r>
      <w:r w:rsidR="00882BDC" w:rsidRPr="006702C8">
        <w:rPr>
          <w:spacing w:val="-6"/>
          <w:sz w:val="20"/>
        </w:rPr>
        <w:t xml:space="preserve"> </w:t>
      </w:r>
      <w:r w:rsidR="00882BDC" w:rsidRPr="006702C8">
        <w:rPr>
          <w:sz w:val="20"/>
        </w:rPr>
        <w:t>of</w:t>
      </w:r>
      <w:r w:rsidR="00882BDC" w:rsidRPr="006702C8">
        <w:rPr>
          <w:spacing w:val="-2"/>
          <w:sz w:val="20"/>
        </w:rPr>
        <w:t xml:space="preserve"> </w:t>
      </w:r>
      <w:r w:rsidR="00882BDC" w:rsidRPr="006702C8">
        <w:rPr>
          <w:sz w:val="20"/>
        </w:rPr>
        <w:t>Connecticut</w:t>
      </w:r>
      <w:r w:rsidR="00216E3B">
        <w:rPr>
          <w:sz w:val="20"/>
        </w:rPr>
        <w:t>, School of Medicine</w:t>
      </w:r>
      <w:r w:rsidR="00882BDC" w:rsidRPr="006702C8">
        <w:rPr>
          <w:spacing w:val="-7"/>
          <w:sz w:val="20"/>
        </w:rPr>
        <w:t xml:space="preserve"> </w:t>
      </w:r>
      <w:r w:rsidR="006702C8">
        <w:rPr>
          <w:spacing w:val="-7"/>
          <w:sz w:val="20"/>
        </w:rPr>
        <w:t>is a technical assistance center funded by the US Department of Education, Office of Special Education Programs t</w:t>
      </w:r>
      <w:r w:rsidR="006702C8" w:rsidRPr="006702C8">
        <w:rPr>
          <w:spacing w:val="-7"/>
          <w:sz w:val="20"/>
        </w:rPr>
        <w:t xml:space="preserve">o increase the capacity of institutions of higher education, professional organizations, states, territories, and tribal nations to prepare and support a diverse and competent workforce able to deliver </w:t>
      </w:r>
      <w:r w:rsidR="00E70B22">
        <w:rPr>
          <w:spacing w:val="-7"/>
          <w:sz w:val="20"/>
        </w:rPr>
        <w:t>early intervention/</w:t>
      </w:r>
      <w:r w:rsidR="006702C8" w:rsidRPr="006702C8">
        <w:rPr>
          <w:spacing w:val="-7"/>
          <w:sz w:val="20"/>
        </w:rPr>
        <w:t xml:space="preserve">early childhood </w:t>
      </w:r>
      <w:r w:rsidR="00E70B22">
        <w:rPr>
          <w:spacing w:val="-7"/>
          <w:sz w:val="20"/>
        </w:rPr>
        <w:t>special education</w:t>
      </w:r>
      <w:r w:rsidR="006702C8" w:rsidRPr="006702C8">
        <w:rPr>
          <w:spacing w:val="-7"/>
          <w:sz w:val="20"/>
        </w:rPr>
        <w:t xml:space="preserve"> </w:t>
      </w:r>
      <w:r w:rsidR="008601E5">
        <w:rPr>
          <w:spacing w:val="-7"/>
          <w:sz w:val="20"/>
        </w:rPr>
        <w:t xml:space="preserve">services </w:t>
      </w:r>
      <w:r w:rsidR="006702C8" w:rsidRPr="006702C8">
        <w:rPr>
          <w:spacing w:val="-7"/>
          <w:sz w:val="20"/>
        </w:rPr>
        <w:t xml:space="preserve">to each and every child and their family. </w:t>
      </w:r>
    </w:p>
    <w:p w14:paraId="7EF2F58D" w14:textId="3E9E6294" w:rsidR="00CB2929" w:rsidRDefault="006C3742">
      <w:pPr>
        <w:pStyle w:val="ListParagraph"/>
        <w:numPr>
          <w:ilvl w:val="0"/>
          <w:numId w:val="1"/>
        </w:numPr>
        <w:tabs>
          <w:tab w:val="left" w:pos="821"/>
        </w:tabs>
        <w:spacing w:before="0" w:line="256" w:lineRule="auto"/>
        <w:ind w:right="522"/>
        <w:jc w:val="both"/>
        <w:rPr>
          <w:sz w:val="20"/>
        </w:rPr>
      </w:pPr>
      <w:hyperlink r:id="rId12">
        <w:r w:rsidR="00882BDC">
          <w:rPr>
            <w:b/>
            <w:color w:val="0562C1"/>
            <w:sz w:val="20"/>
            <w:u w:val="single" w:color="0562C1"/>
          </w:rPr>
          <w:t>AACTE's</w:t>
        </w:r>
        <w:r w:rsidR="00882BDC">
          <w:rPr>
            <w:b/>
            <w:color w:val="0562C1"/>
            <w:spacing w:val="-3"/>
            <w:sz w:val="20"/>
            <w:u w:val="single" w:color="0562C1"/>
          </w:rPr>
          <w:t xml:space="preserve"> </w:t>
        </w:r>
        <w:r w:rsidR="00882BDC">
          <w:rPr>
            <w:b/>
            <w:color w:val="0562C1"/>
            <w:sz w:val="20"/>
            <w:u w:val="single" w:color="0562C1"/>
          </w:rPr>
          <w:t>Holmes</w:t>
        </w:r>
        <w:r w:rsidR="00882BDC">
          <w:rPr>
            <w:b/>
            <w:color w:val="0562C1"/>
            <w:spacing w:val="-3"/>
            <w:sz w:val="20"/>
            <w:u w:val="single" w:color="0562C1"/>
          </w:rPr>
          <w:t xml:space="preserve"> </w:t>
        </w:r>
        <w:r w:rsidR="00882BDC">
          <w:rPr>
            <w:b/>
            <w:color w:val="0562C1"/>
            <w:sz w:val="20"/>
            <w:u w:val="single" w:color="0562C1"/>
          </w:rPr>
          <w:t>Program</w:t>
        </w:r>
      </w:hyperlink>
      <w:r w:rsidR="00882BDC">
        <w:rPr>
          <w:b/>
          <w:color w:val="0562C1"/>
          <w:spacing w:val="-1"/>
          <w:sz w:val="20"/>
          <w:u w:val="single" w:color="0562C1"/>
        </w:rPr>
        <w:t xml:space="preserve"> </w:t>
      </w:r>
      <w:r w:rsidR="00882BDC">
        <w:rPr>
          <w:b/>
          <w:color w:val="0562C1"/>
          <w:spacing w:val="-4"/>
          <w:sz w:val="20"/>
        </w:rPr>
        <w:t xml:space="preserve"> </w:t>
      </w:r>
      <w:r w:rsidR="00882BDC">
        <w:rPr>
          <w:b/>
          <w:sz w:val="20"/>
        </w:rPr>
        <w:t>–</w:t>
      </w:r>
      <w:r w:rsidR="00882BDC">
        <w:rPr>
          <w:b/>
          <w:spacing w:val="-3"/>
          <w:sz w:val="20"/>
        </w:rPr>
        <w:t xml:space="preserve"> </w:t>
      </w:r>
      <w:r w:rsidR="00882BDC">
        <w:rPr>
          <w:sz w:val="20"/>
        </w:rPr>
        <w:t>The</w:t>
      </w:r>
      <w:r w:rsidR="00882BDC">
        <w:rPr>
          <w:spacing w:val="-3"/>
          <w:sz w:val="20"/>
        </w:rPr>
        <w:t xml:space="preserve"> </w:t>
      </w:r>
      <w:r w:rsidR="00882BDC">
        <w:rPr>
          <w:sz w:val="20"/>
        </w:rPr>
        <w:t>Holmes</w:t>
      </w:r>
      <w:r w:rsidR="00882BDC">
        <w:rPr>
          <w:spacing w:val="-1"/>
          <w:sz w:val="20"/>
        </w:rPr>
        <w:t xml:space="preserve"> </w:t>
      </w:r>
      <w:r w:rsidR="00882BDC">
        <w:rPr>
          <w:sz w:val="20"/>
        </w:rPr>
        <w:t>Program</w:t>
      </w:r>
      <w:r w:rsidR="00882BDC">
        <w:rPr>
          <w:spacing w:val="-3"/>
          <w:sz w:val="20"/>
        </w:rPr>
        <w:t xml:space="preserve"> </w:t>
      </w:r>
      <w:r w:rsidR="00882BDC">
        <w:rPr>
          <w:sz w:val="20"/>
        </w:rPr>
        <w:t>supports</w:t>
      </w:r>
      <w:r w:rsidR="00882BDC">
        <w:rPr>
          <w:spacing w:val="-2"/>
          <w:sz w:val="20"/>
        </w:rPr>
        <w:t xml:space="preserve"> </w:t>
      </w:r>
      <w:r w:rsidR="00882BDC">
        <w:rPr>
          <w:sz w:val="20"/>
        </w:rPr>
        <w:t>scholars</w:t>
      </w:r>
      <w:r w:rsidR="00882BDC">
        <w:rPr>
          <w:spacing w:val="-2"/>
          <w:sz w:val="20"/>
        </w:rPr>
        <w:t xml:space="preserve"> </w:t>
      </w:r>
      <w:r w:rsidR="00882BDC">
        <w:rPr>
          <w:sz w:val="20"/>
        </w:rPr>
        <w:t>who</w:t>
      </w:r>
      <w:r w:rsidR="00882BDC">
        <w:rPr>
          <w:spacing w:val="-4"/>
          <w:sz w:val="20"/>
        </w:rPr>
        <w:t xml:space="preserve"> </w:t>
      </w:r>
      <w:r w:rsidR="00882BDC">
        <w:rPr>
          <w:sz w:val="20"/>
        </w:rPr>
        <w:t>self-identify</w:t>
      </w:r>
      <w:r w:rsidR="00882BDC">
        <w:rPr>
          <w:spacing w:val="-4"/>
          <w:sz w:val="20"/>
        </w:rPr>
        <w:t xml:space="preserve"> </w:t>
      </w:r>
      <w:r w:rsidR="00882BDC">
        <w:rPr>
          <w:sz w:val="20"/>
        </w:rPr>
        <w:t>as</w:t>
      </w:r>
      <w:r w:rsidR="00882BDC">
        <w:rPr>
          <w:spacing w:val="-2"/>
          <w:sz w:val="20"/>
        </w:rPr>
        <w:t xml:space="preserve"> </w:t>
      </w:r>
      <w:r w:rsidR="00882BDC">
        <w:rPr>
          <w:sz w:val="20"/>
        </w:rPr>
        <w:t>racially</w:t>
      </w:r>
      <w:r w:rsidR="00882BDC">
        <w:rPr>
          <w:spacing w:val="-4"/>
          <w:sz w:val="20"/>
        </w:rPr>
        <w:t xml:space="preserve"> </w:t>
      </w:r>
      <w:r w:rsidR="00882BDC">
        <w:rPr>
          <w:sz w:val="20"/>
        </w:rPr>
        <w:t>and</w:t>
      </w:r>
      <w:r w:rsidR="00882BDC">
        <w:rPr>
          <w:spacing w:val="-4"/>
          <w:sz w:val="20"/>
        </w:rPr>
        <w:t xml:space="preserve"> </w:t>
      </w:r>
      <w:r w:rsidR="00882BDC">
        <w:rPr>
          <w:sz w:val="20"/>
        </w:rPr>
        <w:t>ethnically diverse</w:t>
      </w:r>
      <w:r w:rsidR="00882BDC">
        <w:rPr>
          <w:spacing w:val="-7"/>
          <w:sz w:val="20"/>
        </w:rPr>
        <w:t xml:space="preserve"> </w:t>
      </w:r>
      <w:r w:rsidR="00882BDC">
        <w:rPr>
          <w:sz w:val="20"/>
        </w:rPr>
        <w:t>and</w:t>
      </w:r>
      <w:r w:rsidR="00882BDC">
        <w:rPr>
          <w:spacing w:val="-8"/>
          <w:sz w:val="20"/>
        </w:rPr>
        <w:t xml:space="preserve"> </w:t>
      </w:r>
      <w:r w:rsidR="00882BDC">
        <w:rPr>
          <w:sz w:val="20"/>
        </w:rPr>
        <w:t>are</w:t>
      </w:r>
      <w:r w:rsidR="00882BDC">
        <w:rPr>
          <w:spacing w:val="-7"/>
          <w:sz w:val="20"/>
        </w:rPr>
        <w:t xml:space="preserve"> </w:t>
      </w:r>
      <w:r w:rsidR="00882BDC">
        <w:rPr>
          <w:sz w:val="20"/>
        </w:rPr>
        <w:t>pursuing</w:t>
      </w:r>
      <w:r w:rsidR="00882BDC">
        <w:rPr>
          <w:spacing w:val="-7"/>
          <w:sz w:val="20"/>
        </w:rPr>
        <w:t xml:space="preserve"> </w:t>
      </w:r>
      <w:r>
        <w:rPr>
          <w:sz w:val="20"/>
        </w:rPr>
        <w:t xml:space="preserve">doctoral </w:t>
      </w:r>
      <w:r w:rsidR="00882BDC">
        <w:rPr>
          <w:sz w:val="20"/>
        </w:rPr>
        <w:t>degrees</w:t>
      </w:r>
      <w:r w:rsidR="00882BDC">
        <w:rPr>
          <w:spacing w:val="-6"/>
          <w:sz w:val="20"/>
        </w:rPr>
        <w:t xml:space="preserve"> </w:t>
      </w:r>
      <w:r w:rsidR="00882BDC">
        <w:rPr>
          <w:sz w:val="20"/>
        </w:rPr>
        <w:t>in</w:t>
      </w:r>
      <w:r w:rsidR="00882BDC">
        <w:rPr>
          <w:spacing w:val="-8"/>
          <w:sz w:val="20"/>
        </w:rPr>
        <w:t xml:space="preserve"> </w:t>
      </w:r>
      <w:r w:rsidR="00882BDC">
        <w:rPr>
          <w:sz w:val="20"/>
        </w:rPr>
        <w:t>education</w:t>
      </w:r>
      <w:r w:rsidR="00882BDC">
        <w:rPr>
          <w:spacing w:val="-8"/>
          <w:sz w:val="20"/>
        </w:rPr>
        <w:t xml:space="preserve"> </w:t>
      </w:r>
      <w:r w:rsidR="00882BDC">
        <w:rPr>
          <w:sz w:val="20"/>
        </w:rPr>
        <w:t>at AACTE member institutions.</w:t>
      </w:r>
    </w:p>
    <w:p w14:paraId="7EF2F58E" w14:textId="77777777" w:rsidR="00CB2929" w:rsidRDefault="00882BDC">
      <w:pPr>
        <w:pStyle w:val="Heading1"/>
        <w:spacing w:before="167"/>
        <w:rPr>
          <w:u w:val="none"/>
        </w:rPr>
      </w:pPr>
      <w:r>
        <w:rPr>
          <w:color w:val="2D74B5"/>
          <w:u w:color="2D74B5"/>
        </w:rPr>
        <w:t>What</w:t>
      </w:r>
      <w:r>
        <w:rPr>
          <w:color w:val="2D74B5"/>
          <w:spacing w:val="-3"/>
          <w:u w:color="2D74B5"/>
        </w:rPr>
        <w:t xml:space="preserve"> </w:t>
      </w:r>
      <w:r>
        <w:rPr>
          <w:color w:val="2D74B5"/>
          <w:u w:color="2D74B5"/>
        </w:rPr>
        <w:t>is</w:t>
      </w:r>
      <w:r>
        <w:rPr>
          <w:color w:val="2D74B5"/>
          <w:spacing w:val="-1"/>
          <w:u w:color="2D74B5"/>
        </w:rPr>
        <w:t xml:space="preserve"> </w:t>
      </w:r>
      <w:r>
        <w:rPr>
          <w:color w:val="2D74B5"/>
          <w:u w:color="2D74B5"/>
        </w:rPr>
        <w:t>the</w:t>
      </w:r>
      <w:r>
        <w:rPr>
          <w:color w:val="2D74B5"/>
          <w:spacing w:val="-2"/>
          <w:u w:color="2D74B5"/>
        </w:rPr>
        <w:t xml:space="preserve"> </w:t>
      </w:r>
      <w:r>
        <w:rPr>
          <w:color w:val="2D74B5"/>
          <w:u w:color="2D74B5"/>
        </w:rPr>
        <w:t>goal</w:t>
      </w:r>
      <w:r>
        <w:rPr>
          <w:color w:val="2D74B5"/>
          <w:spacing w:val="-4"/>
          <w:u w:color="2D74B5"/>
        </w:rPr>
        <w:t xml:space="preserve"> </w:t>
      </w:r>
      <w:r>
        <w:rPr>
          <w:color w:val="2D74B5"/>
          <w:u w:color="2D74B5"/>
        </w:rPr>
        <w:t>of</w:t>
      </w:r>
      <w:r>
        <w:rPr>
          <w:color w:val="2D74B5"/>
          <w:spacing w:val="-1"/>
          <w:u w:color="2D74B5"/>
        </w:rPr>
        <w:t xml:space="preserve"> </w:t>
      </w:r>
      <w:r>
        <w:rPr>
          <w:color w:val="2D74B5"/>
          <w:u w:color="2D74B5"/>
        </w:rPr>
        <w:t>the</w:t>
      </w:r>
      <w:r>
        <w:rPr>
          <w:color w:val="2D74B5"/>
          <w:spacing w:val="-2"/>
          <w:u w:color="2D74B5"/>
        </w:rPr>
        <w:t xml:space="preserve"> project?</w:t>
      </w:r>
    </w:p>
    <w:p w14:paraId="323586CA" w14:textId="4BD475AA" w:rsidR="008601E5" w:rsidRDefault="00882BDC" w:rsidP="006702C8">
      <w:pPr>
        <w:pStyle w:val="BodyText"/>
        <w:spacing w:before="181" w:line="261" w:lineRule="auto"/>
        <w:ind w:left="0"/>
      </w:pPr>
      <w:r>
        <w:t>The</w:t>
      </w:r>
      <w:r>
        <w:rPr>
          <w:spacing w:val="-5"/>
        </w:rPr>
        <w:t xml:space="preserve"> </w:t>
      </w:r>
      <w:r>
        <w:t>goal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 w:rsidR="006702C8">
        <w:rPr>
          <w:spacing w:val="-5"/>
        </w:rPr>
        <w:t xml:space="preserve">early </w:t>
      </w:r>
      <w:r>
        <w:t>childhood</w:t>
      </w:r>
      <w:r w:rsidR="006702C8">
        <w:t xml:space="preserve"> intervention</w:t>
      </w:r>
      <w:r>
        <w:rPr>
          <w:spacing w:val="-5"/>
        </w:rPr>
        <w:t xml:space="preserve"> </w:t>
      </w:r>
      <w:r>
        <w:t>leaders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practitioners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requisite</w:t>
      </w:r>
      <w:r>
        <w:rPr>
          <w:spacing w:val="-5"/>
        </w:rPr>
        <w:t xml:space="preserve"> </w:t>
      </w:r>
      <w:r w:rsidR="00EE488B">
        <w:t xml:space="preserve">knowledge and </w:t>
      </w:r>
      <w:r>
        <w:t>skills to meet the needs of children ages birth to five</w:t>
      </w:r>
      <w:r w:rsidR="006702C8">
        <w:t xml:space="preserve"> with disabilities</w:t>
      </w:r>
      <w:r w:rsidR="008601E5">
        <w:t xml:space="preserve"> and their families</w:t>
      </w:r>
      <w:r>
        <w:t>.</w:t>
      </w:r>
      <w:r>
        <w:rPr>
          <w:spacing w:val="40"/>
        </w:rPr>
        <w:t xml:space="preserve"> </w:t>
      </w:r>
      <w:r w:rsidR="006702C8">
        <w:t>To</w:t>
      </w:r>
      <w:r>
        <w:t xml:space="preserve"> </w:t>
      </w:r>
      <w:r w:rsidR="00216E3B">
        <w:t xml:space="preserve">achieve </w:t>
      </w:r>
      <w:r>
        <w:t>this, there must be a</w:t>
      </w:r>
      <w:r w:rsidR="00216E3B">
        <w:t>n adequate</w:t>
      </w:r>
      <w:r w:rsidR="006702C8"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early</w:t>
      </w:r>
      <w:r>
        <w:rPr>
          <w:spacing w:val="-7"/>
        </w:rPr>
        <w:t xml:space="preserve"> </w:t>
      </w:r>
      <w:r w:rsidR="006702C8">
        <w:t>childhood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6702C8">
        <w:rPr>
          <w:spacing w:val="-7"/>
        </w:rPr>
        <w:t xml:space="preserve">early childhood </w:t>
      </w:r>
      <w:r>
        <w:t>special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programs</w:t>
      </w:r>
      <w:r w:rsidR="00216E3B">
        <w:t>, which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 w:rsidR="00216E3B">
        <w:rPr>
          <w:spacing w:val="-6"/>
        </w:rPr>
        <w:t xml:space="preserve">effective </w:t>
      </w:r>
      <w:r w:rsidR="006702C8">
        <w:t>recruitment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</w:t>
      </w:r>
      <w:r w:rsidR="006702C8">
        <w:t>ention</w:t>
      </w:r>
      <w:r>
        <w:rPr>
          <w:spacing w:val="-6"/>
        </w:rPr>
        <w:t xml:space="preserve"> </w:t>
      </w:r>
      <w:r>
        <w:t>systems to su</w:t>
      </w:r>
      <w:r w:rsidR="00216E3B">
        <w:t>stain</w:t>
      </w:r>
      <w:r>
        <w:t xml:space="preserve"> these professionals. </w:t>
      </w:r>
    </w:p>
    <w:p w14:paraId="7EF2F590" w14:textId="57F37753" w:rsidR="00CB2929" w:rsidRDefault="00882BDC" w:rsidP="006702C8">
      <w:pPr>
        <w:pStyle w:val="BodyText"/>
        <w:spacing w:before="181" w:line="261" w:lineRule="auto"/>
        <w:ind w:left="0"/>
      </w:pPr>
      <w:r>
        <w:t xml:space="preserve">The primary outcome </w:t>
      </w:r>
      <w:r w:rsidR="00FF7AF2" w:rsidRPr="00FF7AF2">
        <w:t>is</w:t>
      </w:r>
      <w:r>
        <w:t>:</w:t>
      </w:r>
    </w:p>
    <w:p w14:paraId="7EF2F591" w14:textId="7CC9532E" w:rsidR="00CB2929" w:rsidRDefault="00216E3B">
      <w:pPr>
        <w:pStyle w:val="ListParagraph"/>
        <w:numPr>
          <w:ilvl w:val="0"/>
          <w:numId w:val="1"/>
        </w:numPr>
        <w:tabs>
          <w:tab w:val="left" w:pos="821"/>
        </w:tabs>
        <w:spacing w:before="150" w:line="256" w:lineRule="auto"/>
        <w:ind w:right="113"/>
        <w:rPr>
          <w:sz w:val="20"/>
        </w:rPr>
      </w:pPr>
      <w:r>
        <w:rPr>
          <w:sz w:val="20"/>
        </w:rPr>
        <w:t>P</w:t>
      </w:r>
      <w:r w:rsidR="00882BDC">
        <w:rPr>
          <w:sz w:val="20"/>
        </w:rPr>
        <w:t>rofessional</w:t>
      </w:r>
      <w:r w:rsidR="00882BDC">
        <w:rPr>
          <w:spacing w:val="-2"/>
          <w:sz w:val="20"/>
        </w:rPr>
        <w:t xml:space="preserve"> </w:t>
      </w:r>
      <w:r w:rsidR="00882BDC">
        <w:rPr>
          <w:sz w:val="20"/>
        </w:rPr>
        <w:t>development</w:t>
      </w:r>
      <w:r w:rsidR="00882BDC">
        <w:rPr>
          <w:spacing w:val="-3"/>
          <w:sz w:val="20"/>
        </w:rPr>
        <w:t xml:space="preserve"> </w:t>
      </w:r>
      <w:r w:rsidR="00882BDC">
        <w:rPr>
          <w:sz w:val="20"/>
        </w:rPr>
        <w:t>to</w:t>
      </w:r>
      <w:r w:rsidR="00882BDC">
        <w:rPr>
          <w:spacing w:val="-1"/>
          <w:sz w:val="20"/>
        </w:rPr>
        <w:t xml:space="preserve"> </w:t>
      </w:r>
      <w:r w:rsidR="00882BDC">
        <w:rPr>
          <w:sz w:val="20"/>
        </w:rPr>
        <w:t>a</w:t>
      </w:r>
      <w:r w:rsidR="00882BDC">
        <w:rPr>
          <w:spacing w:val="-2"/>
          <w:sz w:val="20"/>
        </w:rPr>
        <w:t xml:space="preserve"> </w:t>
      </w:r>
      <w:r w:rsidR="00882BDC">
        <w:rPr>
          <w:sz w:val="20"/>
        </w:rPr>
        <w:t>cohort</w:t>
      </w:r>
      <w:r w:rsidR="00882BDC">
        <w:rPr>
          <w:spacing w:val="-3"/>
          <w:sz w:val="20"/>
        </w:rPr>
        <w:t xml:space="preserve"> </w:t>
      </w:r>
      <w:r w:rsidR="00882BDC">
        <w:rPr>
          <w:sz w:val="20"/>
        </w:rPr>
        <w:t xml:space="preserve">of </w:t>
      </w:r>
      <w:r w:rsidR="006702C8">
        <w:rPr>
          <w:sz w:val="20"/>
        </w:rPr>
        <w:t>ten</w:t>
      </w:r>
      <w:r w:rsidR="00882BDC">
        <w:rPr>
          <w:spacing w:val="-1"/>
          <w:sz w:val="20"/>
        </w:rPr>
        <w:t xml:space="preserve"> </w:t>
      </w:r>
      <w:r w:rsidR="00882BDC">
        <w:rPr>
          <w:sz w:val="20"/>
        </w:rPr>
        <w:t>Doctoral</w:t>
      </w:r>
      <w:r w:rsidR="00882BDC">
        <w:rPr>
          <w:spacing w:val="-2"/>
          <w:sz w:val="20"/>
        </w:rPr>
        <w:t xml:space="preserve"> </w:t>
      </w:r>
      <w:r w:rsidR="00882BDC">
        <w:rPr>
          <w:sz w:val="20"/>
        </w:rPr>
        <w:t>candidates (Ed.D.</w:t>
      </w:r>
      <w:r w:rsidR="00882BDC">
        <w:rPr>
          <w:spacing w:val="-2"/>
          <w:sz w:val="20"/>
        </w:rPr>
        <w:t xml:space="preserve"> </w:t>
      </w:r>
      <w:r w:rsidR="00882BDC">
        <w:rPr>
          <w:sz w:val="20"/>
        </w:rPr>
        <w:t>or</w:t>
      </w:r>
      <w:r w:rsidR="00882BDC">
        <w:rPr>
          <w:spacing w:val="-1"/>
          <w:sz w:val="20"/>
        </w:rPr>
        <w:t xml:space="preserve"> </w:t>
      </w:r>
      <w:r w:rsidR="00882BDC">
        <w:rPr>
          <w:sz w:val="20"/>
        </w:rPr>
        <w:t>Ph.D.)</w:t>
      </w:r>
      <w:r w:rsidR="00882BDC">
        <w:rPr>
          <w:spacing w:val="-2"/>
          <w:sz w:val="20"/>
        </w:rPr>
        <w:t xml:space="preserve"> </w:t>
      </w:r>
      <w:r w:rsidR="00882BDC">
        <w:rPr>
          <w:sz w:val="20"/>
        </w:rPr>
        <w:t>Holmes Scholars</w:t>
      </w:r>
      <w:r w:rsidR="00882BDC">
        <w:rPr>
          <w:spacing w:val="-3"/>
          <w:sz w:val="20"/>
        </w:rPr>
        <w:t xml:space="preserve"> </w:t>
      </w:r>
      <w:r w:rsidR="00882BDC">
        <w:rPr>
          <w:sz w:val="20"/>
        </w:rPr>
        <w:t>whose</w:t>
      </w:r>
      <w:r w:rsidR="00882BDC">
        <w:rPr>
          <w:spacing w:val="-4"/>
          <w:sz w:val="20"/>
        </w:rPr>
        <w:t xml:space="preserve"> </w:t>
      </w:r>
      <w:r w:rsidR="00882BDC">
        <w:rPr>
          <w:sz w:val="20"/>
        </w:rPr>
        <w:t>program</w:t>
      </w:r>
      <w:r w:rsidR="00882BDC">
        <w:rPr>
          <w:spacing w:val="-4"/>
          <w:sz w:val="20"/>
        </w:rPr>
        <w:t xml:space="preserve"> </w:t>
      </w:r>
      <w:r w:rsidR="00882BDC">
        <w:rPr>
          <w:sz w:val="20"/>
        </w:rPr>
        <w:t>and</w:t>
      </w:r>
      <w:r w:rsidR="00882BDC">
        <w:rPr>
          <w:spacing w:val="-4"/>
          <w:sz w:val="20"/>
        </w:rPr>
        <w:t xml:space="preserve"> </w:t>
      </w:r>
      <w:r w:rsidR="00882BDC">
        <w:rPr>
          <w:sz w:val="20"/>
        </w:rPr>
        <w:t>research</w:t>
      </w:r>
      <w:r w:rsidR="00882BDC">
        <w:rPr>
          <w:spacing w:val="-5"/>
          <w:sz w:val="20"/>
        </w:rPr>
        <w:t xml:space="preserve"> </w:t>
      </w:r>
      <w:r w:rsidR="00882BDC">
        <w:rPr>
          <w:sz w:val="20"/>
        </w:rPr>
        <w:t>is</w:t>
      </w:r>
      <w:r w:rsidR="00882BDC">
        <w:rPr>
          <w:spacing w:val="-3"/>
          <w:sz w:val="20"/>
        </w:rPr>
        <w:t xml:space="preserve"> </w:t>
      </w:r>
      <w:r w:rsidR="00882BDC">
        <w:rPr>
          <w:sz w:val="20"/>
        </w:rPr>
        <w:t>specialized</w:t>
      </w:r>
      <w:r w:rsidR="00882BDC">
        <w:rPr>
          <w:spacing w:val="-5"/>
          <w:sz w:val="20"/>
        </w:rPr>
        <w:t xml:space="preserve"> </w:t>
      </w:r>
      <w:r w:rsidR="00882BDC">
        <w:rPr>
          <w:sz w:val="20"/>
        </w:rPr>
        <w:t>in</w:t>
      </w:r>
      <w:r w:rsidR="00882BDC">
        <w:rPr>
          <w:spacing w:val="-3"/>
          <w:sz w:val="20"/>
        </w:rPr>
        <w:t xml:space="preserve"> </w:t>
      </w:r>
      <w:r w:rsidR="00882BDC">
        <w:rPr>
          <w:sz w:val="20"/>
        </w:rPr>
        <w:t>early</w:t>
      </w:r>
      <w:r w:rsidR="00882BDC">
        <w:rPr>
          <w:spacing w:val="-5"/>
          <w:sz w:val="20"/>
        </w:rPr>
        <w:t xml:space="preserve"> </w:t>
      </w:r>
      <w:r w:rsidR="00882BDC">
        <w:rPr>
          <w:sz w:val="20"/>
        </w:rPr>
        <w:t>childhood</w:t>
      </w:r>
      <w:r w:rsidR="00882BDC">
        <w:rPr>
          <w:spacing w:val="-5"/>
          <w:sz w:val="20"/>
        </w:rPr>
        <w:t xml:space="preserve"> </w:t>
      </w:r>
      <w:r w:rsidR="00882BDC">
        <w:rPr>
          <w:sz w:val="20"/>
        </w:rPr>
        <w:t>special</w:t>
      </w:r>
      <w:r w:rsidR="00882BDC">
        <w:rPr>
          <w:spacing w:val="-5"/>
          <w:sz w:val="20"/>
        </w:rPr>
        <w:t xml:space="preserve"> </w:t>
      </w:r>
      <w:r w:rsidR="00882BDC">
        <w:rPr>
          <w:sz w:val="20"/>
        </w:rPr>
        <w:t>education</w:t>
      </w:r>
      <w:r w:rsidR="00882BDC">
        <w:rPr>
          <w:spacing w:val="-5"/>
          <w:sz w:val="20"/>
        </w:rPr>
        <w:t xml:space="preserve"> </w:t>
      </w:r>
      <w:r w:rsidR="00882BDC">
        <w:rPr>
          <w:sz w:val="20"/>
        </w:rPr>
        <w:t>or</w:t>
      </w:r>
      <w:r w:rsidR="00882BDC">
        <w:rPr>
          <w:spacing w:val="-4"/>
          <w:sz w:val="20"/>
        </w:rPr>
        <w:t xml:space="preserve"> </w:t>
      </w:r>
      <w:r w:rsidR="00882BDC">
        <w:rPr>
          <w:sz w:val="20"/>
        </w:rPr>
        <w:t>those</w:t>
      </w:r>
      <w:r w:rsidR="00882BDC">
        <w:rPr>
          <w:spacing w:val="-4"/>
          <w:sz w:val="20"/>
        </w:rPr>
        <w:t xml:space="preserve"> </w:t>
      </w:r>
      <w:r w:rsidR="00882BDC">
        <w:rPr>
          <w:color w:val="232323"/>
          <w:sz w:val="20"/>
        </w:rPr>
        <w:t>in</w:t>
      </w:r>
      <w:r w:rsidR="00882BDC">
        <w:rPr>
          <w:color w:val="232323"/>
          <w:spacing w:val="-5"/>
          <w:sz w:val="20"/>
        </w:rPr>
        <w:t xml:space="preserve"> </w:t>
      </w:r>
      <w:r w:rsidR="00882BDC">
        <w:rPr>
          <w:color w:val="232323"/>
          <w:sz w:val="20"/>
        </w:rPr>
        <w:t>early</w:t>
      </w:r>
      <w:r w:rsidR="00882BDC">
        <w:rPr>
          <w:color w:val="232323"/>
          <w:spacing w:val="-5"/>
          <w:sz w:val="20"/>
        </w:rPr>
        <w:t xml:space="preserve"> </w:t>
      </w:r>
      <w:r w:rsidR="00882BDC">
        <w:rPr>
          <w:color w:val="232323"/>
          <w:sz w:val="20"/>
        </w:rPr>
        <w:t>childhood who plan to specialize on children with disabilities.</w:t>
      </w:r>
    </w:p>
    <w:p w14:paraId="7EF2F593" w14:textId="77777777" w:rsidR="00CB2929" w:rsidRDefault="00882BDC">
      <w:pPr>
        <w:pStyle w:val="Heading1"/>
        <w:spacing w:before="161"/>
        <w:rPr>
          <w:u w:val="none"/>
        </w:rPr>
      </w:pPr>
      <w:r>
        <w:rPr>
          <w:color w:val="2D74B5"/>
          <w:u w:color="2D74B5"/>
        </w:rPr>
        <w:t>How</w:t>
      </w:r>
      <w:r>
        <w:rPr>
          <w:color w:val="2D74B5"/>
          <w:spacing w:val="-4"/>
          <w:u w:color="2D74B5"/>
        </w:rPr>
        <w:t xml:space="preserve"> </w:t>
      </w:r>
      <w:r>
        <w:rPr>
          <w:color w:val="2D74B5"/>
          <w:u w:color="2D74B5"/>
        </w:rPr>
        <w:t>does</w:t>
      </w:r>
      <w:r>
        <w:rPr>
          <w:color w:val="2D74B5"/>
          <w:spacing w:val="-3"/>
          <w:u w:color="2D74B5"/>
        </w:rPr>
        <w:t xml:space="preserve"> </w:t>
      </w:r>
      <w:r>
        <w:rPr>
          <w:color w:val="2D74B5"/>
          <w:u w:color="2D74B5"/>
        </w:rPr>
        <w:t>the</w:t>
      </w:r>
      <w:r>
        <w:rPr>
          <w:color w:val="2D74B5"/>
          <w:spacing w:val="-4"/>
          <w:u w:color="2D74B5"/>
        </w:rPr>
        <w:t xml:space="preserve"> </w:t>
      </w:r>
      <w:r>
        <w:rPr>
          <w:color w:val="2D74B5"/>
          <w:u w:color="2D74B5"/>
        </w:rPr>
        <w:t>program</w:t>
      </w:r>
      <w:r>
        <w:rPr>
          <w:color w:val="2D74B5"/>
          <w:spacing w:val="-4"/>
          <w:u w:color="2D74B5"/>
        </w:rPr>
        <w:t xml:space="preserve"> </w:t>
      </w:r>
      <w:r>
        <w:rPr>
          <w:color w:val="2D74B5"/>
          <w:u w:color="2D74B5"/>
        </w:rPr>
        <w:t>benefits</w:t>
      </w:r>
      <w:r>
        <w:rPr>
          <w:color w:val="2D74B5"/>
          <w:spacing w:val="-7"/>
          <w:u w:color="2D74B5"/>
        </w:rPr>
        <w:t xml:space="preserve"> </w:t>
      </w:r>
      <w:r>
        <w:rPr>
          <w:color w:val="2D74B5"/>
          <w:u w:color="2D74B5"/>
        </w:rPr>
        <w:t>to</w:t>
      </w:r>
      <w:r>
        <w:rPr>
          <w:color w:val="2D74B5"/>
          <w:spacing w:val="-2"/>
          <w:u w:color="2D74B5"/>
        </w:rPr>
        <w:t xml:space="preserve"> </w:t>
      </w:r>
      <w:r>
        <w:rPr>
          <w:color w:val="2D74B5"/>
          <w:u w:color="2D74B5"/>
        </w:rPr>
        <w:t>Holmes</w:t>
      </w:r>
      <w:r>
        <w:rPr>
          <w:color w:val="2D74B5"/>
          <w:spacing w:val="-3"/>
          <w:u w:color="2D74B5"/>
        </w:rPr>
        <w:t xml:space="preserve"> </w:t>
      </w:r>
      <w:r>
        <w:rPr>
          <w:color w:val="2D74B5"/>
          <w:spacing w:val="-2"/>
          <w:u w:color="2D74B5"/>
        </w:rPr>
        <w:t>Scholars?</w:t>
      </w:r>
    </w:p>
    <w:p w14:paraId="7EF2F594" w14:textId="144F7342" w:rsidR="00CB2929" w:rsidRDefault="00882BDC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343"/>
        <w:rPr>
          <w:sz w:val="20"/>
        </w:rPr>
      </w:pPr>
      <w:r>
        <w:rPr>
          <w:b/>
          <w:sz w:val="20"/>
        </w:rPr>
        <w:t>Enhanced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professional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experiences</w:t>
      </w:r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addition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8"/>
          <w:sz w:val="20"/>
        </w:rPr>
        <w:t xml:space="preserve"> </w:t>
      </w:r>
      <w:r>
        <w:rPr>
          <w:sz w:val="20"/>
        </w:rPr>
        <w:t>(PD)</w:t>
      </w:r>
      <w:r>
        <w:rPr>
          <w:spacing w:val="-6"/>
          <w:sz w:val="20"/>
        </w:rPr>
        <w:t xml:space="preserve"> </w:t>
      </w:r>
      <w:r>
        <w:rPr>
          <w:sz w:val="20"/>
        </w:rPr>
        <w:t>provided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the project partners, Holmes scholars will </w:t>
      </w:r>
      <w:r w:rsidR="006C3742">
        <w:rPr>
          <w:sz w:val="20"/>
        </w:rPr>
        <w:t xml:space="preserve">receive </w:t>
      </w:r>
      <w:r>
        <w:rPr>
          <w:sz w:val="20"/>
        </w:rPr>
        <w:t xml:space="preserve">funding to </w:t>
      </w:r>
      <w:r w:rsidR="006C3742">
        <w:rPr>
          <w:sz w:val="20"/>
        </w:rPr>
        <w:t>attend three in-person events hosted by AACTE listed below.</w:t>
      </w:r>
    </w:p>
    <w:p w14:paraId="7EF2F595" w14:textId="3C1599B6" w:rsidR="00CB2929" w:rsidRDefault="00882BDC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left="820" w:hanging="360"/>
        <w:rPr>
          <w:sz w:val="20"/>
        </w:rPr>
      </w:pPr>
      <w:r>
        <w:rPr>
          <w:b/>
          <w:sz w:val="20"/>
        </w:rPr>
        <w:t>Enhanced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networking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support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experiences.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addition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cohort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 w:rsidR="006702C8">
        <w:rPr>
          <w:sz w:val="20"/>
        </w:rPr>
        <w:t>0</w:t>
      </w:r>
      <w:r>
        <w:rPr>
          <w:sz w:val="20"/>
        </w:rPr>
        <w:t>, 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selected</w:t>
      </w:r>
    </w:p>
    <w:p w14:paraId="14B0F83D" w14:textId="77777777" w:rsidR="006702C8" w:rsidRDefault="00882BDC" w:rsidP="006702C8">
      <w:pPr>
        <w:pStyle w:val="BodyText"/>
        <w:spacing w:before="20" w:line="256" w:lineRule="auto"/>
        <w:ind w:left="821"/>
        <w:rPr>
          <w:spacing w:val="-7"/>
        </w:rPr>
      </w:pPr>
      <w:r>
        <w:t>Holmes</w:t>
      </w:r>
      <w:r>
        <w:rPr>
          <w:spacing w:val="-2"/>
        </w:rPr>
        <w:t xml:space="preserve"> </w:t>
      </w:r>
      <w:r>
        <w:t>Scholars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mentoring</w:t>
      </w:r>
      <w:r>
        <w:rPr>
          <w:spacing w:val="-4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experts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field.</w:t>
      </w:r>
      <w:r>
        <w:rPr>
          <w:spacing w:val="-1"/>
        </w:rPr>
        <w:t xml:space="preserve"> </w:t>
      </w:r>
      <w:r w:rsidR="00D2239A">
        <w:t xml:space="preserve">Each cohort will have a </w:t>
      </w:r>
      <w:r w:rsidR="006702C8">
        <w:t>one-year</w:t>
      </w:r>
      <w:r w:rsidR="00D2239A">
        <w:t xml:space="preserve"> </w:t>
      </w:r>
      <w:r w:rsidR="006702C8">
        <w:t>tenure commencing</w:t>
      </w:r>
      <w:r w:rsidR="00D2239A">
        <w:t xml:space="preserve"> in September. </w:t>
      </w:r>
      <w:r>
        <w:rPr>
          <w:spacing w:val="-7"/>
        </w:rPr>
        <w:t xml:space="preserve"> </w:t>
      </w:r>
    </w:p>
    <w:p w14:paraId="7EF2F598" w14:textId="77777777" w:rsidR="00CB2929" w:rsidRDefault="00882BDC">
      <w:pPr>
        <w:pStyle w:val="Heading1"/>
        <w:spacing w:before="167"/>
        <w:rPr>
          <w:u w:val="none"/>
        </w:rPr>
      </w:pPr>
      <w:r>
        <w:rPr>
          <w:color w:val="2D74B5"/>
          <w:u w:color="2D74B5"/>
        </w:rPr>
        <w:t>Who</w:t>
      </w:r>
      <w:r>
        <w:rPr>
          <w:color w:val="2D74B5"/>
          <w:spacing w:val="-1"/>
          <w:u w:color="2D74B5"/>
        </w:rPr>
        <w:t xml:space="preserve"> </w:t>
      </w:r>
      <w:r>
        <w:rPr>
          <w:color w:val="2D74B5"/>
          <w:u w:color="2D74B5"/>
        </w:rPr>
        <w:t>is</w:t>
      </w:r>
      <w:r>
        <w:rPr>
          <w:color w:val="2D74B5"/>
          <w:spacing w:val="2"/>
          <w:u w:color="2D74B5"/>
        </w:rPr>
        <w:t xml:space="preserve"> </w:t>
      </w:r>
      <w:r>
        <w:rPr>
          <w:color w:val="2D74B5"/>
          <w:spacing w:val="-2"/>
          <w:u w:color="2D74B5"/>
        </w:rPr>
        <w:t>eligible?</w:t>
      </w:r>
    </w:p>
    <w:p w14:paraId="7EF2F599" w14:textId="4B5F0273" w:rsidR="00CB2929" w:rsidRDefault="00882BDC">
      <w:pPr>
        <w:pStyle w:val="ListParagraph"/>
        <w:numPr>
          <w:ilvl w:val="0"/>
          <w:numId w:val="1"/>
        </w:numPr>
        <w:tabs>
          <w:tab w:val="left" w:pos="820"/>
        </w:tabs>
        <w:ind w:left="820" w:hanging="360"/>
        <w:rPr>
          <w:sz w:val="20"/>
        </w:rPr>
      </w:pPr>
      <w:r>
        <w:rPr>
          <w:sz w:val="20"/>
        </w:rPr>
        <w:t>Participants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 w:rsidR="00216E3B">
        <w:rPr>
          <w:spacing w:val="-4"/>
          <w:sz w:val="20"/>
        </w:rPr>
        <w:t xml:space="preserve">at </w:t>
      </w:r>
      <w:r>
        <w:rPr>
          <w:sz w:val="20"/>
        </w:rPr>
        <w:t>an</w:t>
      </w:r>
      <w:r w:rsidR="00216E3B">
        <w:rPr>
          <w:sz w:val="20"/>
        </w:rPr>
        <w:t xml:space="preserve"> Institution of Higher Education</w:t>
      </w:r>
      <w:r>
        <w:rPr>
          <w:spacing w:val="-5"/>
          <w:sz w:val="20"/>
        </w:rPr>
        <w:t xml:space="preserve"> </w:t>
      </w:r>
      <w:r w:rsidR="00216E3B">
        <w:rPr>
          <w:spacing w:val="-5"/>
          <w:sz w:val="20"/>
        </w:rPr>
        <w:t xml:space="preserve">that participates in the </w:t>
      </w:r>
      <w:r>
        <w:rPr>
          <w:sz w:val="20"/>
        </w:rPr>
        <w:t>Holmes</w:t>
      </w:r>
      <w:r>
        <w:rPr>
          <w:spacing w:val="-2"/>
          <w:sz w:val="20"/>
        </w:rPr>
        <w:t xml:space="preserve"> Program</w:t>
      </w:r>
      <w:r w:rsidR="00216E3B">
        <w:rPr>
          <w:spacing w:val="-2"/>
          <w:sz w:val="20"/>
        </w:rPr>
        <w:t xml:space="preserve"> through AACTE.</w:t>
      </w:r>
    </w:p>
    <w:p w14:paraId="7EF2F59B" w14:textId="16B8A023" w:rsidR="00CB2929" w:rsidRPr="00C6632E" w:rsidRDefault="00882BDC" w:rsidP="00C6632E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ind w:left="820" w:hanging="360"/>
        <w:rPr>
          <w:strike/>
          <w:sz w:val="20"/>
        </w:rPr>
      </w:pPr>
      <w:r>
        <w:rPr>
          <w:sz w:val="20"/>
        </w:rPr>
        <w:t>Participants</w:t>
      </w:r>
      <w:r>
        <w:rPr>
          <w:spacing w:val="-6"/>
          <w:sz w:val="20"/>
        </w:rPr>
        <w:t xml:space="preserve"> </w:t>
      </w:r>
      <w:r w:rsidR="00B6065E">
        <w:rPr>
          <w:spacing w:val="-6"/>
          <w:sz w:val="20"/>
        </w:rPr>
        <w:t xml:space="preserve">must be </w:t>
      </w:r>
      <w:r w:rsidR="00216E3B">
        <w:rPr>
          <w:spacing w:val="-6"/>
          <w:sz w:val="20"/>
        </w:rPr>
        <w:t xml:space="preserve">a </w:t>
      </w:r>
      <w:r>
        <w:rPr>
          <w:sz w:val="20"/>
        </w:rPr>
        <w:t>doctoral</w:t>
      </w:r>
      <w:r>
        <w:rPr>
          <w:spacing w:val="-6"/>
          <w:sz w:val="20"/>
        </w:rPr>
        <w:t xml:space="preserve"> </w:t>
      </w:r>
      <w:r>
        <w:rPr>
          <w:sz w:val="20"/>
        </w:rPr>
        <w:t>candidate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 w:rsidR="00216E3B">
        <w:rPr>
          <w:sz w:val="20"/>
        </w:rPr>
        <w:t xml:space="preserve"> an</w:t>
      </w:r>
      <w:r>
        <w:rPr>
          <w:spacing w:val="-6"/>
          <w:sz w:val="20"/>
        </w:rPr>
        <w:t xml:space="preserve"> </w:t>
      </w:r>
      <w:r>
        <w:rPr>
          <w:sz w:val="20"/>
        </w:rPr>
        <w:t>early</w:t>
      </w:r>
      <w:r>
        <w:rPr>
          <w:spacing w:val="-6"/>
          <w:sz w:val="20"/>
        </w:rPr>
        <w:t xml:space="preserve"> </w:t>
      </w:r>
      <w:r>
        <w:rPr>
          <w:sz w:val="20"/>
        </w:rPr>
        <w:t>childhood</w:t>
      </w:r>
      <w:r>
        <w:rPr>
          <w:spacing w:val="-1"/>
          <w:sz w:val="20"/>
        </w:rPr>
        <w:t xml:space="preserve"> </w:t>
      </w:r>
      <w:r>
        <w:rPr>
          <w:sz w:val="20"/>
        </w:rPr>
        <w:t>special</w:t>
      </w:r>
      <w:r>
        <w:rPr>
          <w:spacing w:val="-6"/>
          <w:sz w:val="20"/>
        </w:rPr>
        <w:t xml:space="preserve"> </w:t>
      </w:r>
      <w:r>
        <w:rPr>
          <w:sz w:val="20"/>
        </w:rPr>
        <w:t>education</w:t>
      </w:r>
      <w:r w:rsidR="00B6065E">
        <w:rPr>
          <w:sz w:val="20"/>
        </w:rPr>
        <w:t xml:space="preserve"> program</w:t>
      </w:r>
      <w:r w:rsidR="00216E3B">
        <w:rPr>
          <w:sz w:val="20"/>
        </w:rPr>
        <w:t xml:space="preserve"> or special education with a concentration in early childhood intervention.</w:t>
      </w:r>
      <w:r>
        <w:rPr>
          <w:spacing w:val="-7"/>
          <w:sz w:val="20"/>
        </w:rPr>
        <w:t xml:space="preserve"> </w:t>
      </w:r>
      <w:r>
        <w:rPr>
          <w:sz w:val="20"/>
        </w:rPr>
        <w:t>(Ed.D.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Ph.D.)</w:t>
      </w:r>
    </w:p>
    <w:p w14:paraId="7EF2F59C" w14:textId="77777777" w:rsidR="00CB2929" w:rsidRDefault="00882BDC">
      <w:pPr>
        <w:pStyle w:val="Heading1"/>
        <w:spacing w:before="169"/>
        <w:rPr>
          <w:u w:val="none"/>
        </w:rPr>
      </w:pPr>
      <w:r>
        <w:rPr>
          <w:color w:val="2D74B5"/>
          <w:u w:color="2D74B5"/>
        </w:rPr>
        <w:t>What</w:t>
      </w:r>
      <w:r>
        <w:rPr>
          <w:color w:val="2D74B5"/>
          <w:spacing w:val="-4"/>
          <w:u w:color="2D74B5"/>
        </w:rPr>
        <w:t xml:space="preserve"> </w:t>
      </w:r>
      <w:r>
        <w:rPr>
          <w:color w:val="2D74B5"/>
          <w:u w:color="2D74B5"/>
        </w:rPr>
        <w:t>is</w:t>
      </w:r>
      <w:r>
        <w:rPr>
          <w:color w:val="2D74B5"/>
          <w:spacing w:val="-1"/>
          <w:u w:color="2D74B5"/>
        </w:rPr>
        <w:t xml:space="preserve"> </w:t>
      </w:r>
      <w:r>
        <w:rPr>
          <w:color w:val="2D74B5"/>
          <w:u w:color="2D74B5"/>
        </w:rPr>
        <w:t>the</w:t>
      </w:r>
      <w:r>
        <w:rPr>
          <w:color w:val="2D74B5"/>
          <w:spacing w:val="-3"/>
          <w:u w:color="2D74B5"/>
        </w:rPr>
        <w:t xml:space="preserve"> </w:t>
      </w:r>
      <w:r>
        <w:rPr>
          <w:color w:val="2D74B5"/>
          <w:u w:color="2D74B5"/>
        </w:rPr>
        <w:t xml:space="preserve">funding </w:t>
      </w:r>
      <w:r>
        <w:rPr>
          <w:color w:val="2D74B5"/>
          <w:spacing w:val="-2"/>
          <w:u w:color="2D74B5"/>
        </w:rPr>
        <w:t>amount?</w:t>
      </w:r>
    </w:p>
    <w:p w14:paraId="7EF2F5A3" w14:textId="53AA1D20" w:rsidR="00CB2929" w:rsidRDefault="00882BDC" w:rsidP="00D602C9">
      <w:pPr>
        <w:pStyle w:val="ListParagraph"/>
        <w:numPr>
          <w:ilvl w:val="0"/>
          <w:numId w:val="1"/>
        </w:numPr>
        <w:tabs>
          <w:tab w:val="left" w:pos="821"/>
        </w:tabs>
        <w:spacing w:before="176" w:line="259" w:lineRule="auto"/>
        <w:ind w:left="810" w:right="638"/>
      </w:pPr>
      <w:r>
        <w:rPr>
          <w:sz w:val="20"/>
        </w:rPr>
        <w:t>Each</w:t>
      </w:r>
      <w:r w:rsidRPr="00D602C9">
        <w:rPr>
          <w:spacing w:val="-7"/>
          <w:sz w:val="20"/>
        </w:rPr>
        <w:t xml:space="preserve"> </w:t>
      </w:r>
      <w:r>
        <w:rPr>
          <w:sz w:val="20"/>
        </w:rPr>
        <w:t>scholar</w:t>
      </w:r>
      <w:r w:rsidRPr="00D602C9">
        <w:rPr>
          <w:spacing w:val="-6"/>
          <w:sz w:val="20"/>
        </w:rPr>
        <w:t xml:space="preserve"> </w:t>
      </w:r>
      <w:r>
        <w:rPr>
          <w:sz w:val="20"/>
        </w:rPr>
        <w:t>will</w:t>
      </w:r>
      <w:r w:rsidRPr="00D602C9">
        <w:rPr>
          <w:spacing w:val="-7"/>
          <w:sz w:val="20"/>
        </w:rPr>
        <w:t xml:space="preserve"> </w:t>
      </w:r>
      <w:r>
        <w:rPr>
          <w:sz w:val="20"/>
        </w:rPr>
        <w:t>receive</w:t>
      </w:r>
      <w:r w:rsidR="008D6628">
        <w:rPr>
          <w:sz w:val="20"/>
        </w:rPr>
        <w:t xml:space="preserve"> a one-time,</w:t>
      </w:r>
      <w:r w:rsidRPr="00D602C9">
        <w:rPr>
          <w:spacing w:val="-5"/>
          <w:sz w:val="20"/>
        </w:rPr>
        <w:t xml:space="preserve"> </w:t>
      </w:r>
      <w:r w:rsidR="00195429" w:rsidRPr="00882BDC">
        <w:rPr>
          <w:sz w:val="20"/>
        </w:rPr>
        <w:t>$3,100</w:t>
      </w:r>
      <w:r w:rsidR="00195429" w:rsidRPr="00D602C9">
        <w:rPr>
          <w:i/>
          <w:iCs/>
          <w:sz w:val="20"/>
        </w:rPr>
        <w:t xml:space="preserve"> </w:t>
      </w:r>
      <w:r w:rsidR="008D6628">
        <w:rPr>
          <w:sz w:val="20"/>
        </w:rPr>
        <w:t>stipend</w:t>
      </w:r>
      <w:r w:rsidRPr="00D602C9">
        <w:rPr>
          <w:spacing w:val="-3"/>
          <w:sz w:val="20"/>
        </w:rPr>
        <w:t xml:space="preserve"> </w:t>
      </w:r>
      <w:r>
        <w:rPr>
          <w:sz w:val="20"/>
        </w:rPr>
        <w:t>in</w:t>
      </w:r>
      <w:r w:rsidRPr="00D602C9">
        <w:rPr>
          <w:spacing w:val="-7"/>
          <w:sz w:val="20"/>
        </w:rPr>
        <w:t xml:space="preserve"> </w:t>
      </w:r>
      <w:r>
        <w:rPr>
          <w:sz w:val="20"/>
        </w:rPr>
        <w:t>financial</w:t>
      </w:r>
      <w:r w:rsidRPr="00D602C9">
        <w:rPr>
          <w:spacing w:val="-7"/>
          <w:sz w:val="20"/>
        </w:rPr>
        <w:t xml:space="preserve"> </w:t>
      </w:r>
      <w:r>
        <w:rPr>
          <w:sz w:val="20"/>
        </w:rPr>
        <w:t>support</w:t>
      </w:r>
      <w:r w:rsidRPr="00D602C9">
        <w:rPr>
          <w:spacing w:val="-8"/>
          <w:sz w:val="20"/>
        </w:rPr>
        <w:t xml:space="preserve"> </w:t>
      </w:r>
      <w:r>
        <w:rPr>
          <w:sz w:val="20"/>
        </w:rPr>
        <w:t>to</w:t>
      </w:r>
      <w:r w:rsidRPr="00D602C9">
        <w:rPr>
          <w:spacing w:val="-7"/>
          <w:sz w:val="20"/>
        </w:rPr>
        <w:t xml:space="preserve"> </w:t>
      </w:r>
      <w:r>
        <w:rPr>
          <w:sz w:val="20"/>
        </w:rPr>
        <w:t>attend</w:t>
      </w:r>
      <w:r w:rsidRPr="00D602C9">
        <w:rPr>
          <w:spacing w:val="-5"/>
          <w:sz w:val="20"/>
        </w:rPr>
        <w:t xml:space="preserve"> </w:t>
      </w:r>
      <w:r w:rsidR="00AE5EA9">
        <w:rPr>
          <w:sz w:val="20"/>
        </w:rPr>
        <w:t xml:space="preserve">the three annual Holmes </w:t>
      </w:r>
      <w:r w:rsidR="00D602C9">
        <w:rPr>
          <w:sz w:val="20"/>
        </w:rPr>
        <w:t>in</w:t>
      </w:r>
      <w:r w:rsidR="00AE5EA9">
        <w:rPr>
          <w:sz w:val="20"/>
        </w:rPr>
        <w:t xml:space="preserve"> person conferences: Holmes Preconference, Washington Week, and the Research &amp; Dissertation Retreat.</w:t>
      </w:r>
    </w:p>
    <w:sectPr w:rsidR="00CB2929" w:rsidSect="00E70B22">
      <w:headerReference w:type="default" r:id="rId13"/>
      <w:pgSz w:w="12240" w:h="15840"/>
      <w:pgMar w:top="1420" w:right="980" w:bottom="280" w:left="9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087E2" w14:textId="77777777" w:rsidR="00730F5B" w:rsidRDefault="00730F5B">
      <w:r>
        <w:separator/>
      </w:r>
    </w:p>
  </w:endnote>
  <w:endnote w:type="continuationSeparator" w:id="0">
    <w:p w14:paraId="7365D411" w14:textId="77777777" w:rsidR="00730F5B" w:rsidRDefault="00730F5B">
      <w:r>
        <w:continuationSeparator/>
      </w:r>
    </w:p>
  </w:endnote>
  <w:endnote w:type="continuationNotice" w:id="1">
    <w:p w14:paraId="3214F597" w14:textId="77777777" w:rsidR="00730F5B" w:rsidRDefault="00730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03D0D" w14:textId="77777777" w:rsidR="00730F5B" w:rsidRDefault="00730F5B">
      <w:r>
        <w:separator/>
      </w:r>
    </w:p>
  </w:footnote>
  <w:footnote w:type="continuationSeparator" w:id="0">
    <w:p w14:paraId="5229AD82" w14:textId="77777777" w:rsidR="00730F5B" w:rsidRDefault="00730F5B">
      <w:r>
        <w:continuationSeparator/>
      </w:r>
    </w:p>
  </w:footnote>
  <w:footnote w:type="continuationNotice" w:id="1">
    <w:p w14:paraId="1BDE3F5C" w14:textId="77777777" w:rsidR="00730F5B" w:rsidRDefault="00730F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E516F" w14:textId="3A0DB5DB" w:rsidR="002B0FD8" w:rsidRPr="002B0FD8" w:rsidRDefault="002B0FD8" w:rsidP="002B0FD8">
    <w:pPr>
      <w:pStyle w:val="BodyText"/>
      <w:spacing w:line="14" w:lineRule="auto"/>
    </w:pPr>
  </w:p>
  <w:p w14:paraId="4B50A5A0" w14:textId="3A656314" w:rsidR="00D602C9" w:rsidRDefault="00D602C9" w:rsidP="00D602C9">
    <w:pPr>
      <w:pStyle w:val="NormalWeb"/>
    </w:pPr>
  </w:p>
  <w:p w14:paraId="7EF2F5A8" w14:textId="56B6AD55" w:rsidR="00CB2929" w:rsidRDefault="00CB2929">
    <w:pPr>
      <w:pStyle w:val="BodyText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B61C4"/>
    <w:multiLevelType w:val="hybridMultilevel"/>
    <w:tmpl w:val="CEB0B0F2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338D757B"/>
    <w:multiLevelType w:val="hybridMultilevel"/>
    <w:tmpl w:val="867E3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C1356F"/>
    <w:multiLevelType w:val="hybridMultilevel"/>
    <w:tmpl w:val="1FDEF216"/>
    <w:lvl w:ilvl="0" w:tplc="EF644F9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6306F86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2" w:tplc="DB1C5F8E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49DAA054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ar-SA"/>
      </w:rPr>
    </w:lvl>
    <w:lvl w:ilvl="4" w:tplc="2EB076DE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ar-SA"/>
      </w:rPr>
    </w:lvl>
    <w:lvl w:ilvl="5" w:tplc="B1802B32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ar-SA"/>
      </w:rPr>
    </w:lvl>
    <w:lvl w:ilvl="6" w:tplc="7F0C6792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ar-SA"/>
      </w:rPr>
    </w:lvl>
    <w:lvl w:ilvl="7" w:tplc="ED600E46">
      <w:numFmt w:val="bullet"/>
      <w:lvlText w:val="•"/>
      <w:lvlJc w:val="left"/>
      <w:pPr>
        <w:ind w:left="7442" w:hanging="361"/>
      </w:pPr>
      <w:rPr>
        <w:rFonts w:hint="default"/>
        <w:lang w:val="en-US" w:eastAsia="en-US" w:bidi="ar-SA"/>
      </w:rPr>
    </w:lvl>
    <w:lvl w:ilvl="8" w:tplc="1826F150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</w:abstractNum>
  <w:num w:numId="1" w16cid:durableId="132791019">
    <w:abstractNumId w:val="2"/>
  </w:num>
  <w:num w:numId="2" w16cid:durableId="1526677535">
    <w:abstractNumId w:val="1"/>
  </w:num>
  <w:num w:numId="3" w16cid:durableId="27972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29"/>
    <w:rsid w:val="000D4544"/>
    <w:rsid w:val="00195429"/>
    <w:rsid w:val="00207D48"/>
    <w:rsid w:val="00216E3B"/>
    <w:rsid w:val="002413CE"/>
    <w:rsid w:val="00271375"/>
    <w:rsid w:val="002B0FD8"/>
    <w:rsid w:val="00413301"/>
    <w:rsid w:val="00456BF3"/>
    <w:rsid w:val="005056FF"/>
    <w:rsid w:val="005B02C0"/>
    <w:rsid w:val="006702C8"/>
    <w:rsid w:val="006C3742"/>
    <w:rsid w:val="00730F5B"/>
    <w:rsid w:val="008601E5"/>
    <w:rsid w:val="00875F5B"/>
    <w:rsid w:val="00882BDC"/>
    <w:rsid w:val="008C32FB"/>
    <w:rsid w:val="008D6628"/>
    <w:rsid w:val="00AB0122"/>
    <w:rsid w:val="00AD150B"/>
    <w:rsid w:val="00AE5EA9"/>
    <w:rsid w:val="00B3570C"/>
    <w:rsid w:val="00B6065E"/>
    <w:rsid w:val="00C6632E"/>
    <w:rsid w:val="00CB2929"/>
    <w:rsid w:val="00CF651E"/>
    <w:rsid w:val="00D2239A"/>
    <w:rsid w:val="00D602C9"/>
    <w:rsid w:val="00E70B22"/>
    <w:rsid w:val="00E7108D"/>
    <w:rsid w:val="00EC401A"/>
    <w:rsid w:val="00ED08F9"/>
    <w:rsid w:val="00EE488B"/>
    <w:rsid w:val="00F912AE"/>
    <w:rsid w:val="00FF7AF2"/>
    <w:rsid w:val="566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F586"/>
  <w15:docId w15:val="{5F1C6BC2-3C2E-4BB2-98BB-E6835731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80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1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08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1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08D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71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37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375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13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3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2C8"/>
    <w:pPr>
      <w:widowControl/>
      <w:autoSpaceDE/>
      <w:autoSpaceDN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602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acte.org/programs-and-services/holmes-progra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pcta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08AFA590E2D47A8A6A0B37ACB7EAF" ma:contentTypeVersion="25" ma:contentTypeDescription="Create a new document." ma:contentTypeScope="" ma:versionID="4831578539201e648a916961945242b6">
  <xsd:schema xmlns:xsd="http://www.w3.org/2001/XMLSchema" xmlns:xs="http://www.w3.org/2001/XMLSchema" xmlns:p="http://schemas.microsoft.com/office/2006/metadata/properties" xmlns:ns2="5783632d-e17e-430b-b60d-cacafcb3607f" xmlns:ns3="57d0460a-053e-457d-b817-ce1539ddf396" targetNamespace="http://schemas.microsoft.com/office/2006/metadata/properties" ma:root="true" ma:fieldsID="9a10d2cc2d29d0880d48d0878b740891" ns2:_="" ns3:_="">
    <xsd:import namespace="5783632d-e17e-430b-b60d-cacafcb3607f"/>
    <xsd:import namespace="57d0460a-053e-457d-b817-ce1539ddf3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Link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3632d-e17e-430b-b60d-cacafcb36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69adff-4c7b-40d7-bed8-737cf43a4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s" ma:index="22" nillable="true" ma:displayName="Links" ma:format="Dropdown" ma:internalName="Link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0460a-053e-457d-b817-ce1539ddf3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8d36d2-f9be-4db0-93eb-8d92930919c3}" ma:internalName="TaxCatchAll" ma:showField="CatchAllData" ma:web="57d0460a-053e-457d-b817-ce1539ddf3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79267-40B6-4D39-9550-0CCD7EBCF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3632d-e17e-430b-b60d-cacafcb3607f"/>
    <ds:schemaRef ds:uri="57d0460a-053e-457d-b817-ce1539ddf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D77DC-FD8E-42EC-AC58-8C62FC03C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Dunn</dc:creator>
  <cp:lastModifiedBy>Gundler,Darla</cp:lastModifiedBy>
  <cp:revision>2</cp:revision>
  <cp:lastPrinted>2024-09-26T21:21:00Z</cp:lastPrinted>
  <dcterms:created xsi:type="dcterms:W3CDTF">2024-11-11T18:59:00Z</dcterms:created>
  <dcterms:modified xsi:type="dcterms:W3CDTF">2024-11-11T18:59:00Z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2024-09-17T00:00:00Z</vt:filetime>
  </property>
</Properties>
</file>