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8CFB3" w14:textId="77777777" w:rsidR="00B64BF5" w:rsidRPr="00885AC1" w:rsidRDefault="00B64BF5" w:rsidP="00B64BF5">
      <w:pPr>
        <w:pStyle w:val="Heading1"/>
        <w:rPr>
          <w:rFonts w:ascii="Times New Roman" w:hAnsi="Times New Roman" w:cs="Times New Roman"/>
        </w:rPr>
      </w:pPr>
      <w:r>
        <w:rPr>
          <w:noProof/>
        </w:rPr>
        <w:drawing>
          <wp:anchor distT="0" distB="0" distL="114300" distR="114300" simplePos="0" relativeHeight="251659264" behindDoc="1" locked="0" layoutInCell="1" allowOverlap="1" wp14:anchorId="2413C88A" wp14:editId="26012EC6">
            <wp:simplePos x="0" y="0"/>
            <wp:positionH relativeFrom="column">
              <wp:posOffset>5582</wp:posOffset>
            </wp:positionH>
            <wp:positionV relativeFrom="paragraph">
              <wp:posOffset>-400050</wp:posOffset>
            </wp:positionV>
            <wp:extent cx="5943600" cy="619707"/>
            <wp:effectExtent l="0" t="0" r="0" b="9525"/>
            <wp:wrapNone/>
            <wp:docPr id="886214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14118"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19707"/>
                    </a:xfrm>
                    <a:prstGeom prst="rect">
                      <a:avLst/>
                    </a:prstGeom>
                  </pic:spPr>
                </pic:pic>
              </a:graphicData>
            </a:graphic>
          </wp:anchor>
        </w:drawing>
      </w:r>
    </w:p>
    <w:p w14:paraId="1C24E15E" w14:textId="77777777" w:rsidR="00B64BF5" w:rsidRPr="00885AC1" w:rsidRDefault="00B64BF5" w:rsidP="00B64BF5">
      <w:pPr>
        <w:pStyle w:val="Heading3"/>
        <w:jc w:val="center"/>
        <w:rPr>
          <w:rFonts w:ascii="Times New Roman" w:eastAsia="Times New Roman" w:hAnsi="Times New Roman" w:cs="Times New Roman"/>
          <w:color w:val="000000" w:themeColor="text1"/>
        </w:rPr>
      </w:pPr>
    </w:p>
    <w:p w14:paraId="16870F8D" w14:textId="77777777" w:rsidR="00B64BF5" w:rsidRDefault="00B64BF5" w:rsidP="00B64BF5">
      <w:pPr>
        <w:jc w:val="center"/>
        <w:rPr>
          <w:rFonts w:ascii="Times New Roman" w:eastAsia="Times New Roman" w:hAnsi="Times New Roman" w:cs="Times New Roman"/>
          <w:b/>
          <w:sz w:val="52"/>
          <w:szCs w:val="52"/>
        </w:rPr>
      </w:pPr>
    </w:p>
    <w:p w14:paraId="4DE696BC" w14:textId="53EBC23A" w:rsidR="00B64BF5" w:rsidRPr="00CB4BB2" w:rsidRDefault="00B64BF5" w:rsidP="00B64BF5">
      <w:pPr>
        <w:jc w:val="center"/>
        <w:rPr>
          <w:sz w:val="52"/>
          <w:szCs w:val="52"/>
        </w:rPr>
      </w:pPr>
      <w:r w:rsidRPr="00CB4BB2">
        <w:rPr>
          <w:rFonts w:ascii="Times New Roman" w:eastAsia="Times New Roman" w:hAnsi="Times New Roman" w:cs="Times New Roman"/>
          <w:b/>
          <w:sz w:val="52"/>
          <w:szCs w:val="52"/>
        </w:rPr>
        <w:t xml:space="preserve">Equitable </w:t>
      </w:r>
      <w:r>
        <w:rPr>
          <w:rFonts w:ascii="Times New Roman" w:eastAsia="Times New Roman" w:hAnsi="Times New Roman" w:cs="Times New Roman"/>
          <w:b/>
          <w:sz w:val="52"/>
          <w:szCs w:val="52"/>
        </w:rPr>
        <w:t>Assessment</w:t>
      </w:r>
    </w:p>
    <w:p w14:paraId="22317DFE" w14:textId="77777777" w:rsidR="00B64BF5" w:rsidRPr="00885AC1" w:rsidRDefault="00B64BF5" w:rsidP="00B64BF5">
      <w:pPr>
        <w:pStyle w:val="Heading3"/>
        <w:jc w:val="center"/>
        <w:rPr>
          <w:rFonts w:ascii="Times New Roman" w:eastAsia="Times New Roman" w:hAnsi="Times New Roman" w:cs="Times New Roman"/>
          <w:color w:val="000000" w:themeColor="text1"/>
        </w:rPr>
      </w:pPr>
    </w:p>
    <w:p w14:paraId="5FBB4EFD" w14:textId="77777777" w:rsidR="00B64BF5" w:rsidRPr="00885AC1" w:rsidRDefault="00B64BF5" w:rsidP="00B64BF5">
      <w:pPr>
        <w:rPr>
          <w:rFonts w:ascii="Times New Roman" w:eastAsia="Times New Roman" w:hAnsi="Times New Roman" w:cs="Times New Roman"/>
          <w:b/>
          <w:bCs/>
          <w:color w:val="1C4587"/>
        </w:rPr>
      </w:pPr>
    </w:p>
    <w:p w14:paraId="2FD23852" w14:textId="77777777" w:rsidR="00B64BF5" w:rsidRDefault="00B64BF5" w:rsidP="00B64BF5">
      <w:pPr>
        <w:tabs>
          <w:tab w:val="left" w:pos="3539"/>
        </w:tabs>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166C3733" wp14:editId="508E6E20">
            <wp:extent cx="4515710" cy="2401637"/>
            <wp:effectExtent l="0" t="0" r="0" b="0"/>
            <wp:docPr id="1258106048" name="Picture 1"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06048" name="Picture 1" descr="A group of children sitting on the floor&#10;&#10;Description automatically generated"/>
                    <pic:cNvPicPr/>
                  </pic:nvPicPr>
                  <pic:blipFill rotWithShape="1">
                    <a:blip r:embed="rId9" cstate="print">
                      <a:extLst>
                        <a:ext uri="{28A0092B-C50C-407E-A947-70E740481C1C}">
                          <a14:useLocalDpi xmlns:a14="http://schemas.microsoft.com/office/drawing/2010/main" val="0"/>
                        </a:ext>
                      </a:extLst>
                    </a:blip>
                    <a:srcRect l="2781" t="1" r="4149" b="25751"/>
                    <a:stretch/>
                  </pic:blipFill>
                  <pic:spPr bwMode="auto">
                    <a:xfrm>
                      <a:off x="0" y="0"/>
                      <a:ext cx="4524345" cy="2406230"/>
                    </a:xfrm>
                    <a:prstGeom prst="rect">
                      <a:avLst/>
                    </a:prstGeom>
                    <a:ln>
                      <a:noFill/>
                    </a:ln>
                    <a:effectLst>
                      <a:softEdge rad="63500"/>
                    </a:effectLst>
                    <a:extLst>
                      <a:ext uri="{53640926-AAD7-44D8-BBD7-CCE9431645EC}">
                        <a14:shadowObscured xmlns:a14="http://schemas.microsoft.com/office/drawing/2010/main"/>
                      </a:ext>
                    </a:extLst>
                  </pic:spPr>
                </pic:pic>
              </a:graphicData>
            </a:graphic>
          </wp:inline>
        </w:drawing>
      </w:r>
    </w:p>
    <w:p w14:paraId="2EC777A9" w14:textId="77777777" w:rsidR="00B64BF5" w:rsidRDefault="00B64BF5" w:rsidP="00B64BF5">
      <w:pPr>
        <w:jc w:val="center"/>
        <w:rPr>
          <w:rFonts w:ascii="Times New Roman" w:hAnsi="Times New Roman" w:cs="Times New Roman"/>
          <w:b/>
          <w:bCs/>
        </w:rPr>
      </w:pPr>
    </w:p>
    <w:p w14:paraId="35464804" w14:textId="77777777" w:rsidR="00B64BF5" w:rsidRDefault="00B64BF5" w:rsidP="00B64BF5">
      <w:pPr>
        <w:jc w:val="center"/>
        <w:rPr>
          <w:rFonts w:ascii="Times New Roman" w:hAnsi="Times New Roman" w:cs="Times New Roman"/>
          <w:b/>
          <w:bCs/>
        </w:rPr>
      </w:pPr>
    </w:p>
    <w:p w14:paraId="64458F14" w14:textId="77777777" w:rsidR="00B64BF5" w:rsidRDefault="00B64BF5" w:rsidP="00B64BF5">
      <w:pPr>
        <w:jc w:val="center"/>
        <w:rPr>
          <w:rFonts w:ascii="Times New Roman" w:hAnsi="Times New Roman" w:cs="Times New Roman"/>
          <w:b/>
          <w:bCs/>
        </w:rPr>
      </w:pPr>
    </w:p>
    <w:p w14:paraId="5B8ED2FF" w14:textId="77777777" w:rsidR="00B64BF5" w:rsidRDefault="00B64BF5" w:rsidP="00B64BF5">
      <w:pPr>
        <w:jc w:val="center"/>
        <w:rPr>
          <w:rFonts w:ascii="Times New Roman" w:hAnsi="Times New Roman" w:cs="Times New Roman"/>
          <w:b/>
          <w:bCs/>
        </w:rPr>
      </w:pPr>
    </w:p>
    <w:p w14:paraId="1615CB04" w14:textId="77777777" w:rsidR="00B64BF5" w:rsidRDefault="00B64BF5" w:rsidP="00B64BF5">
      <w:pPr>
        <w:jc w:val="center"/>
        <w:rPr>
          <w:rFonts w:ascii="Times New Roman" w:hAnsi="Times New Roman" w:cs="Times New Roman"/>
          <w:b/>
          <w:bCs/>
        </w:rPr>
      </w:pPr>
    </w:p>
    <w:p w14:paraId="5D1A22C8" w14:textId="77777777" w:rsidR="00B64BF5" w:rsidRDefault="00B64BF5" w:rsidP="00B64BF5">
      <w:pPr>
        <w:jc w:val="center"/>
        <w:rPr>
          <w:rFonts w:ascii="Times New Roman" w:hAnsi="Times New Roman" w:cs="Times New Roman"/>
          <w:b/>
          <w:bCs/>
        </w:rPr>
      </w:pPr>
    </w:p>
    <w:p w14:paraId="4EB533B0" w14:textId="77777777" w:rsidR="00B64BF5" w:rsidRDefault="00B64BF5" w:rsidP="00B64BF5">
      <w:pPr>
        <w:jc w:val="center"/>
        <w:rPr>
          <w:rFonts w:ascii="Times New Roman" w:hAnsi="Times New Roman" w:cs="Times New Roman"/>
          <w:b/>
          <w:bCs/>
        </w:rPr>
      </w:pPr>
    </w:p>
    <w:p w14:paraId="188CC965" w14:textId="77777777" w:rsidR="00B64BF5" w:rsidRDefault="00B64BF5" w:rsidP="00B64BF5">
      <w:pPr>
        <w:jc w:val="center"/>
        <w:rPr>
          <w:rFonts w:ascii="Times New Roman" w:hAnsi="Times New Roman" w:cs="Times New Roman"/>
          <w:b/>
          <w:bCs/>
        </w:rPr>
      </w:pPr>
    </w:p>
    <w:p w14:paraId="6C16F517" w14:textId="77777777" w:rsidR="00B64BF5" w:rsidRPr="00780389" w:rsidRDefault="00B64BF5" w:rsidP="00B64BF5">
      <w:pPr>
        <w:jc w:val="center"/>
        <w:rPr>
          <w:rFonts w:ascii="Times New Roman" w:hAnsi="Times New Roman" w:cs="Times New Roman"/>
          <w:b/>
          <w:bCs/>
        </w:rPr>
      </w:pPr>
      <w:r w:rsidRPr="00780389">
        <w:rPr>
          <w:rFonts w:ascii="Times New Roman" w:hAnsi="Times New Roman" w:cs="Times New Roman"/>
          <w:b/>
          <w:bCs/>
        </w:rPr>
        <w:t>Disclaimer:</w:t>
      </w:r>
    </w:p>
    <w:p w14:paraId="47C5658C" w14:textId="77777777" w:rsidR="00B64BF5" w:rsidRPr="00BE5112" w:rsidRDefault="00B64BF5" w:rsidP="00B64BF5">
      <w:pPr>
        <w:jc w:val="center"/>
        <w:rPr>
          <w:rFonts w:ascii="Times New Roman" w:eastAsia="Times New Roman" w:hAnsi="Times New Roman" w:cs="Times New Roman"/>
          <w:bCs/>
          <w:sz w:val="20"/>
          <w:szCs w:val="20"/>
        </w:rPr>
      </w:pPr>
      <w:r w:rsidRPr="00BE5112">
        <w:rPr>
          <w:rFonts w:ascii="Times New Roman" w:eastAsia="Times New Roman" w:hAnsi="Times New Roman" w:cs="Times New Roman"/>
          <w:bCs/>
          <w:sz w:val="20"/>
          <w:szCs w:val="20"/>
        </w:rPr>
        <w:t>This is a product of the Early Childhood Intervention Personnel Center for Equity (ECIPC-Equity) awarded to the University of Connecticut Center for Excellence in Developmental Disabilities and was made possible by Cooperative Agreement #H325C220003 which is funded by the U.S. Department of Education, Office of Special Education Programs. However, the contents do not necessarily represent the policy of the Department of Education, and you should not assume endorsement by the Federal Government. All rights reserved.</w:t>
      </w:r>
    </w:p>
    <w:p w14:paraId="7AD57ECD" w14:textId="77777777" w:rsidR="00B64BF5" w:rsidRPr="00E77380" w:rsidRDefault="00B64BF5" w:rsidP="00B64BF5">
      <w:pPr>
        <w:jc w:val="center"/>
        <w:rPr>
          <w:rFonts w:ascii="Times New Roman" w:eastAsia="Times New Roman" w:hAnsi="Times New Roman" w:cs="Times New Roman"/>
          <w:bCs/>
          <w:sz w:val="10"/>
          <w:szCs w:val="10"/>
        </w:rPr>
      </w:pPr>
    </w:p>
    <w:p w14:paraId="6B6E8198" w14:textId="77777777" w:rsidR="00B64BF5" w:rsidRDefault="00B64BF5" w:rsidP="00B64BF5">
      <w:pPr>
        <w:jc w:val="center"/>
        <w:rPr>
          <w:rFonts w:ascii="Times New Roman" w:eastAsia="Times New Roman" w:hAnsi="Times New Roman" w:cs="Times New Roman"/>
          <w:bCs/>
          <w:sz w:val="20"/>
          <w:szCs w:val="20"/>
        </w:rPr>
      </w:pPr>
      <w:r w:rsidRPr="00BE5112">
        <w:rPr>
          <w:rFonts w:ascii="Times New Roman" w:eastAsia="Times New Roman" w:hAnsi="Times New Roman" w:cs="Times New Roman"/>
          <w:bCs/>
          <w:sz w:val="20"/>
          <w:szCs w:val="20"/>
        </w:rPr>
        <w:t xml:space="preserve">263 Farmington Avenue, Farmington, CT 06030-6222 • 860.679.1500 • </w:t>
      </w:r>
      <w:hyperlink r:id="rId10" w:history="1">
        <w:r w:rsidRPr="00BE5112">
          <w:rPr>
            <w:rStyle w:val="Hyperlink"/>
            <w:rFonts w:ascii="Times New Roman" w:eastAsia="Times New Roman" w:hAnsi="Times New Roman" w:cs="Times New Roman"/>
            <w:bCs/>
            <w:sz w:val="20"/>
            <w:szCs w:val="20"/>
          </w:rPr>
          <w:t>infoucedd@uchc.edu</w:t>
        </w:r>
      </w:hyperlink>
      <w:r w:rsidRPr="00BE5112">
        <w:rPr>
          <w:rFonts w:ascii="Times New Roman" w:eastAsia="Times New Roman" w:hAnsi="Times New Roman" w:cs="Times New Roman"/>
          <w:bCs/>
          <w:sz w:val="20"/>
          <w:szCs w:val="20"/>
        </w:rPr>
        <w:t xml:space="preserve"> ©2024 </w:t>
      </w:r>
    </w:p>
    <w:p w14:paraId="096E9FA1" w14:textId="77777777" w:rsidR="00B64BF5" w:rsidRPr="00BE5112" w:rsidRDefault="00B64BF5" w:rsidP="00B64BF5">
      <w:pPr>
        <w:jc w:val="center"/>
        <w:rPr>
          <w:rFonts w:ascii="Times New Roman" w:eastAsia="Times New Roman" w:hAnsi="Times New Roman" w:cs="Times New Roman"/>
          <w:bCs/>
          <w:sz w:val="20"/>
          <w:szCs w:val="20"/>
        </w:rPr>
      </w:pPr>
      <w:r w:rsidRPr="00BE5112">
        <w:rPr>
          <w:rFonts w:ascii="Times New Roman" w:eastAsia="Times New Roman" w:hAnsi="Times New Roman" w:cs="Times New Roman"/>
          <w:bCs/>
          <w:sz w:val="20"/>
          <w:szCs w:val="20"/>
        </w:rPr>
        <w:t xml:space="preserve">University of Connecticut Center for Excellence in Developmental Disabilities </w:t>
      </w:r>
    </w:p>
    <w:p w14:paraId="73EE9D41" w14:textId="77777777" w:rsidR="00B64BF5" w:rsidRDefault="00B64BF5" w:rsidP="00B64BF5">
      <w:pPr>
        <w:jc w:val="center"/>
        <w:rPr>
          <w:rFonts w:ascii="Times New Roman" w:eastAsia="Times New Roman" w:hAnsi="Times New Roman" w:cs="Times New Roman"/>
          <w:b/>
          <w:bCs/>
          <w:color w:val="222222"/>
        </w:rPr>
      </w:pPr>
      <w:r w:rsidRPr="00BE5112">
        <w:rPr>
          <w:rFonts w:ascii="Times New Roman" w:eastAsia="Times New Roman" w:hAnsi="Times New Roman" w:cs="Times New Roman"/>
          <w:bCs/>
          <w:sz w:val="20"/>
          <w:szCs w:val="20"/>
        </w:rPr>
        <w:t>Education, Research and Service.</w:t>
      </w:r>
    </w:p>
    <w:p w14:paraId="42896B30" w14:textId="77777777" w:rsidR="00B64BF5" w:rsidRDefault="00B64BF5">
      <w:pPr>
        <w:spacing w:line="480" w:lineRule="auto"/>
        <w:jc w:val="center"/>
        <w:rPr>
          <w:rFonts w:ascii="Times New Roman" w:eastAsia="Times New Roman" w:hAnsi="Times New Roman" w:cs="Times New Roman"/>
          <w:b/>
        </w:rPr>
      </w:pPr>
    </w:p>
    <w:p w14:paraId="7110C108" w14:textId="77777777" w:rsidR="00B64BF5" w:rsidRDefault="00B64BF5">
      <w:pPr>
        <w:spacing w:line="480" w:lineRule="auto"/>
        <w:jc w:val="center"/>
        <w:rPr>
          <w:rFonts w:ascii="Times New Roman" w:eastAsia="Times New Roman" w:hAnsi="Times New Roman" w:cs="Times New Roman"/>
          <w:b/>
        </w:rPr>
      </w:pPr>
    </w:p>
    <w:p w14:paraId="00000001" w14:textId="2ACA4DB6" w:rsidR="0050573A" w:rsidRDefault="00B64BF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Indicator 2: Equitable Assessment</w:t>
      </w:r>
    </w:p>
    <w:p w14:paraId="00000002" w14:textId="77777777" w:rsidR="0050573A" w:rsidRDefault="00B64BF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Introduction</w:t>
      </w:r>
    </w:p>
    <w:p w14:paraId="00000003" w14:textId="77777777" w:rsidR="0050573A" w:rsidRDefault="00B64BF5">
      <w:pPr>
        <w:spacing w:line="480" w:lineRule="auto"/>
        <w:rPr>
          <w:rFonts w:ascii="Times New Roman" w:eastAsia="Times New Roman" w:hAnsi="Times New Roman" w:cs="Times New Roman"/>
          <w:b/>
        </w:rPr>
      </w:pPr>
      <w:r>
        <w:rPr>
          <w:rFonts w:ascii="Times New Roman" w:eastAsia="Times New Roman" w:hAnsi="Times New Roman" w:cs="Times New Roman"/>
          <w:b/>
        </w:rPr>
        <w:t>Definition of Equity</w:t>
      </w:r>
    </w:p>
    <w:p w14:paraId="00000004"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Current literature provides a myriad of definitions for the term “equity.” While the term itself is not new, its incorporation into the world of early childhood intervention (ECI) service delivery is nascent. As the concept of equity becomes more deeply ingrained across ECI in both practice and research, it will also become more important that families and providers have a shared definition. </w:t>
      </w:r>
    </w:p>
    <w:p w14:paraId="00000005" w14:textId="0E750E06"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Existing research and organizations dedicated to the field of early childhood field assert that, overall, equity in ECI acknowledges, adapts to, uplifts, and amplifies families’ individual strengths, needs, and voices (National Association for the Education of Young Children (NAEYC), 2019; National Center on Parent, Family, and Community Engagement (NCPFCE), 2023; Early Childhood Technical Assistance Center (ECTA), 2023). The literature affirms that equity within ECI requires taking intentional steps toward</w:t>
      </w:r>
      <w:r>
        <w:rPr>
          <w:rFonts w:ascii="Times New Roman" w:eastAsia="Times New Roman" w:hAnsi="Times New Roman" w:cs="Times New Roman"/>
        </w:rPr>
        <w:t xml:space="preserve"> ensuring all children and families have access to the resources necessary to meet their individual goals regardless of race, gender, class, language, disability, or other social or cultural identities (Maryland State Department (MSD), n.d.; NAEYC, 2019). </w:t>
      </w:r>
      <w:r w:rsidR="001A0CEA">
        <w:rPr>
          <w:rFonts w:ascii="Times New Roman" w:eastAsia="Times New Roman" w:hAnsi="Times New Roman" w:cs="Times New Roman"/>
        </w:rPr>
        <w:t>To</w:t>
      </w:r>
      <w:r>
        <w:rPr>
          <w:rFonts w:ascii="Times New Roman" w:eastAsia="Times New Roman" w:hAnsi="Times New Roman" w:cs="Times New Roman"/>
        </w:rPr>
        <w:t xml:space="preserve"> achieve this common goal for equity within ECI, providers and educators must actively work to ensure all children and families receive the individualized support necessary to fully meet their unique potential (i.e., cognitive, social, emotional, and phy</w:t>
      </w:r>
      <w:r>
        <w:rPr>
          <w:rFonts w:ascii="Times New Roman" w:eastAsia="Times New Roman" w:hAnsi="Times New Roman" w:cs="Times New Roman"/>
        </w:rPr>
        <w:t xml:space="preserve">sical; NCPFCE, 2023). </w:t>
      </w:r>
    </w:p>
    <w:p w14:paraId="00000006"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crucial first step toward equity in ECI environments is to build on each child’s unique set of strengths - individual, family, cultural, and communal. Effective screening and service delivery must also address the diverse backgrounds of children by incorporating community </w:t>
      </w:r>
      <w:r>
        <w:rPr>
          <w:rFonts w:ascii="Times New Roman" w:eastAsia="Times New Roman" w:hAnsi="Times New Roman" w:cs="Times New Roman"/>
        </w:rPr>
        <w:lastRenderedPageBreak/>
        <w:t>outreach that is both culturally and linguistically sensitive (Morgan, Farkas, Hillemeier, &amp; Maczuga, 2012). Ultimately, equity within the field of ECI will result in eliminating barriers limiting positive outcomes that are a result of past and present inequities in society (MSD, n.d.; NCPFCE, 2023).</w:t>
      </w:r>
    </w:p>
    <w:p w14:paraId="00000007" w14:textId="77777777" w:rsidR="0050573A" w:rsidRDefault="00B64BF5">
      <w:pPr>
        <w:spacing w:line="480" w:lineRule="auto"/>
        <w:rPr>
          <w:rFonts w:ascii="Times New Roman" w:eastAsia="Times New Roman" w:hAnsi="Times New Roman" w:cs="Times New Roman"/>
          <w:b/>
        </w:rPr>
      </w:pPr>
      <w:r>
        <w:rPr>
          <w:rFonts w:ascii="Times New Roman" w:eastAsia="Times New Roman" w:hAnsi="Times New Roman" w:cs="Times New Roman"/>
          <w:b/>
        </w:rPr>
        <w:t>Definition of Assessment</w:t>
      </w:r>
    </w:p>
    <w:p w14:paraId="00000008" w14:textId="7308FD4D"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Since the beginning of service delivery efforts for young children with disabilities, assessments have been used to plan and determine services. Initially, assessments focused on </w:t>
      </w:r>
      <w:r w:rsidR="00E25054">
        <w:rPr>
          <w:rFonts w:ascii="Times New Roman" w:eastAsia="Times New Roman" w:hAnsi="Times New Roman" w:cs="Times New Roman"/>
        </w:rPr>
        <w:t xml:space="preserve">a one-dimensional description of each </w:t>
      </w:r>
      <w:r>
        <w:rPr>
          <w:rFonts w:ascii="Times New Roman" w:eastAsia="Times New Roman" w:hAnsi="Times New Roman" w:cs="Times New Roman"/>
        </w:rPr>
        <w:t xml:space="preserve">child and whether they were eligible for services instead of tuning into the child’s </w:t>
      </w:r>
      <w:r w:rsidR="00E25054">
        <w:rPr>
          <w:rFonts w:ascii="Times New Roman" w:eastAsia="Times New Roman" w:hAnsi="Times New Roman" w:cs="Times New Roman"/>
        </w:rPr>
        <w:t xml:space="preserve">multitudes – their </w:t>
      </w:r>
      <w:r>
        <w:rPr>
          <w:rFonts w:ascii="Times New Roman" w:eastAsia="Times New Roman" w:hAnsi="Times New Roman" w:cs="Times New Roman"/>
        </w:rPr>
        <w:t xml:space="preserve">individual skills and needs (McConnell et al., 2016). Assessment tools had traditionally relied on standardized testing and the </w:t>
      </w:r>
      <w:r w:rsidR="00E25054">
        <w:rPr>
          <w:rFonts w:ascii="Times New Roman" w:eastAsia="Times New Roman" w:hAnsi="Times New Roman" w:cs="Times New Roman"/>
        </w:rPr>
        <w:t xml:space="preserve">rote </w:t>
      </w:r>
      <w:r>
        <w:rPr>
          <w:rFonts w:ascii="Times New Roman" w:eastAsia="Times New Roman" w:hAnsi="Times New Roman" w:cs="Times New Roman"/>
        </w:rPr>
        <w:t>interpretation of resulting scores to assess eligibility. The tools had limitations when tracking the individual's development and specific skill growth (McLean et al., 2004). In recent years, assessments have been developed to target sp</w:t>
      </w:r>
      <w:r>
        <w:rPr>
          <w:rFonts w:ascii="Times New Roman" w:eastAsia="Times New Roman" w:hAnsi="Times New Roman" w:cs="Times New Roman"/>
        </w:rPr>
        <w:t>ecific interventions</w:t>
      </w:r>
      <w:r w:rsidR="00E25054">
        <w:rPr>
          <w:rFonts w:ascii="Times New Roman" w:eastAsia="Times New Roman" w:hAnsi="Times New Roman" w:cs="Times New Roman"/>
        </w:rPr>
        <w:t xml:space="preserve"> multidimensionally</w:t>
      </w:r>
      <w:r>
        <w:rPr>
          <w:rFonts w:ascii="Times New Roman" w:eastAsia="Times New Roman" w:hAnsi="Times New Roman" w:cs="Times New Roman"/>
        </w:rPr>
        <w:t xml:space="preserve">, </w:t>
      </w:r>
      <w:r w:rsidR="00E25054">
        <w:rPr>
          <w:rFonts w:ascii="Times New Roman" w:eastAsia="Times New Roman" w:hAnsi="Times New Roman" w:cs="Times New Roman"/>
        </w:rPr>
        <w:t>with a</w:t>
      </w:r>
      <w:r>
        <w:rPr>
          <w:rFonts w:ascii="Times New Roman" w:eastAsia="Times New Roman" w:hAnsi="Times New Roman" w:cs="Times New Roman"/>
        </w:rPr>
        <w:t xml:space="preserve"> more formal focus on individual child development and strengths (McConnell et al., 2016; McLean et al., 2004; IDEA, 2004). </w:t>
      </w:r>
    </w:p>
    <w:p w14:paraId="00000009"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If the result of a screening or concern leads to an assessment, states must conduct an evaluation within 45 days of a referral (IDEA, 2004). The child can be eligible to receive services under certain circumstances. Under the Individuals with Disability Act (IDEA), children eligible for services include those with measurable developmental delays in cognitive, physical, communication, social-emotional, or adaptive domains; those with a diagnosed condition likely to cause delays; and, at a state’s discretion,</w:t>
      </w:r>
      <w:r>
        <w:rPr>
          <w:rFonts w:ascii="Times New Roman" w:eastAsia="Times New Roman" w:hAnsi="Times New Roman" w:cs="Times New Roman"/>
        </w:rPr>
        <w:t xml:space="preserve"> those at risk of delays without early intervention. Additionally, children who received Part C services and have turned three are eligible for preschool services under Part B (IDEA, 2004). Informed by the data collected through </w:t>
      </w:r>
      <w:r>
        <w:rPr>
          <w:rFonts w:ascii="Times New Roman" w:eastAsia="Times New Roman" w:hAnsi="Times New Roman" w:cs="Times New Roman"/>
        </w:rPr>
        <w:lastRenderedPageBreak/>
        <w:t>comprehensive assessment, services should then be individualized to meet the unique needs of each child.</w:t>
      </w:r>
    </w:p>
    <w:p w14:paraId="4CB0B55B" w14:textId="77777777" w:rsidR="00E25054"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assessment process, as mandated by the Individuals with Disabilities Education Act (IDEA), plays a critical role in ensuring that children with suspected disabilities receive a Free Appropriate Public Education (FAPE) in the Least Restrictive Environment (LRE) (IDEA, 2004). This process, conducted by a multidisciplinary team in collaboration with families, is designed to gather comprehensive information across all developmental domains. The objective is to gain a deep understanding of the families’ stre</w:t>
      </w:r>
      <w:r>
        <w:rPr>
          <w:rFonts w:ascii="Times New Roman" w:eastAsia="Times New Roman" w:hAnsi="Times New Roman" w:cs="Times New Roman"/>
        </w:rPr>
        <w:t xml:space="preserve">ngths, needs, preferences, and interests, thereby facilitating individualized family service planning (DEC, 2014). </w:t>
      </w:r>
    </w:p>
    <w:p w14:paraId="0000000A" w14:textId="3AEA61A4" w:rsidR="0050573A" w:rsidRDefault="00B64BF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rPr>
        <w:t>Central to this process is the active involvement of families, which, when coupled with a strengths-based approach, promotes self-discovery, confidence, and a sense of agency for both the child and the family (Keilty et al., 2022). To ensure this, assessments should be comprehensive, non-discriminatory, and conducted in the family's or child’s native language or preferred mode of communication, ensuring that every family's unique context is respected and understood (IDEA, 2004; ECLKC, 2024). It is imperativ</w:t>
      </w:r>
      <w:r>
        <w:rPr>
          <w:rFonts w:ascii="Times New Roman" w:eastAsia="Times New Roman" w:hAnsi="Times New Roman" w:cs="Times New Roman"/>
        </w:rPr>
        <w:t>e to address potential biases, consider cultural and linguistic diversity, and employ multiple methods to obtain a holistic view of the child's abilities (Archambault et al., 2020). Training in culturally responsive practices and ongoing monitoring are essential to maintain accuracy and individualized support in evaluations, ensuring that all children receive the support they need to thrive.</w:t>
      </w:r>
    </w:p>
    <w:p w14:paraId="1B58BDED" w14:textId="77777777" w:rsidR="00E25054" w:rsidRDefault="00B64BF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rPr>
        <w:t>To ensure that appropriate services are used to foster child development, providers must select and utilize appropriate assessment tools, while also considering both ethical and legal guidelines (DEC, 2020; CDC, 2024). T</w:t>
      </w:r>
      <w:r>
        <w:rPr>
          <w:rFonts w:ascii="Times New Roman" w:eastAsia="Times New Roman" w:hAnsi="Times New Roman" w:cs="Times New Roman"/>
          <w:color w:val="000000"/>
        </w:rPr>
        <w:t xml:space="preserve">hey must use this understanding to select reliable and valid tools that are suited to the developmental, cultural, and linguistic needs of the young child, </w:t>
      </w:r>
      <w:r>
        <w:rPr>
          <w:rFonts w:ascii="Times New Roman" w:eastAsia="Times New Roman" w:hAnsi="Times New Roman" w:cs="Times New Roman"/>
          <w:color w:val="000000"/>
        </w:rPr>
        <w:lastRenderedPageBreak/>
        <w:t xml:space="preserve">their family, and the program (DEC, 2020; ECLKC, 2024). If using standardized tools, providers must also use authentic assessment such as observation and family interviews (IDEA, 2004). </w:t>
      </w:r>
    </w:p>
    <w:p w14:paraId="0000000C" w14:textId="23BB50EE" w:rsidR="0050573A" w:rsidRDefault="00B64BF5" w:rsidP="00E2505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comprehensive assessment process should also integrate informed clinical opinion to ensure a thorough understanding of the child’s needs (IDEA, 2004; McLean et al., 2004).</w:t>
      </w:r>
      <w:r w:rsidR="00E250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assessment process is multifaceted, involving the administration of evaluation instruments, gathering the child’s history, and collaborating with various sources to build a comprehensive understanding of the child's development and their eligibility for services. The evaluation team may consist of qualified professionals in speech and language, cognitive, hearing, vision, child development, psychology, and physical development (ECLKC, 2024; CDC, 2024). </w:t>
      </w:r>
    </w:p>
    <w:p w14:paraId="0000000D" w14:textId="77777777" w:rsidR="0050573A" w:rsidRDefault="00B64BF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Assessment data must be analyzed, interpreted, documented, and shared with a strengths-based approach, ensuring that families and other providers can effectively use this information to determine eligibility, develop child and family-based outcomes, plan interventions, and monitor the efficacy of services (DEC, 2014; </w:t>
      </w:r>
      <w:r>
        <w:rPr>
          <w:rFonts w:ascii="Times New Roman" w:eastAsia="Times New Roman" w:hAnsi="Times New Roman" w:cs="Times New Roman"/>
        </w:rPr>
        <w:t>Keilty et al., 2022</w:t>
      </w:r>
      <w:r>
        <w:rPr>
          <w:rFonts w:ascii="Times New Roman" w:eastAsia="Times New Roman" w:hAnsi="Times New Roman" w:cs="Times New Roman"/>
          <w:color w:val="000000"/>
        </w:rPr>
        <w:t>). Providers are responsible for reporting assessment results in a manner that is understandable and useful to families (DEC, 2014).  Assessment should be continuous and ongoing to identify the child’s skills and needs, this is essential to continue planning for the appropriate services (McConnell et al., 2016; IDEA, 2004). The overarching aim of the ECI services is to develop a comprehensive, coordinated, and multidisciplinary system that meets the needs of all eligible children, especia</w:t>
      </w:r>
      <w:r>
        <w:rPr>
          <w:rFonts w:ascii="Times New Roman" w:eastAsia="Times New Roman" w:hAnsi="Times New Roman" w:cs="Times New Roman"/>
          <w:color w:val="000000"/>
        </w:rPr>
        <w:t>lly those from underrepresented and disadvantaged backgrounds.</w:t>
      </w:r>
    </w:p>
    <w:p w14:paraId="0000000E" w14:textId="77777777" w:rsidR="0050573A" w:rsidRDefault="00B64BF5">
      <w:pPr>
        <w:spacing w:line="480" w:lineRule="auto"/>
        <w:rPr>
          <w:rFonts w:ascii="Times New Roman" w:eastAsia="Times New Roman" w:hAnsi="Times New Roman" w:cs="Times New Roman"/>
          <w:b/>
        </w:rPr>
      </w:pPr>
      <w:r>
        <w:rPr>
          <w:rFonts w:ascii="Times New Roman" w:eastAsia="Times New Roman" w:hAnsi="Times New Roman" w:cs="Times New Roman"/>
          <w:b/>
        </w:rPr>
        <w:t>Purpose</w:t>
      </w:r>
    </w:p>
    <w:p w14:paraId="0000000F"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immediate purpose of this brief is to provide information (i.e., definitions, examples, recommendations, references, resources) in support of the first of six identified equity indicators: </w:t>
      </w:r>
      <w:r>
        <w:rPr>
          <w:rFonts w:ascii="Times New Roman" w:eastAsia="Times New Roman" w:hAnsi="Times New Roman" w:cs="Times New Roman"/>
        </w:rPr>
        <w:lastRenderedPageBreak/>
        <w:t>equitable developmental screenings. This brief is intended for early childhood educators and providers delivering services to children and their families.</w:t>
      </w:r>
    </w:p>
    <w:p w14:paraId="00000010"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brief was written as part of the “Personnel Development to Improve Services and Results for Children with Disabilities – Early Childhood Intervention Personnel Equity Center (ECIPC - Equity)" project funded by the U.S. Department of Education. The work done was intended specifically to address Objective 1.2: </w:t>
      </w:r>
    </w:p>
    <w:p w14:paraId="00000011"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Develop materials, resources, and tools to facilitate the use of the early childhood </w:t>
      </w:r>
    </w:p>
    <w:p w14:paraId="00000012"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intervention equity-based framework as aligned with national professional organization </w:t>
      </w:r>
    </w:p>
    <w:p w14:paraId="00000013"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personnel standards, state standards, and evidence- based practice (“EBP”) in early </w:t>
      </w:r>
    </w:p>
    <w:p w14:paraId="00000014"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childhood intervention programs of study in institutions of higher education (“IHEs”).</w:t>
      </w:r>
    </w:p>
    <w:p w14:paraId="00000015" w14:textId="77777777" w:rsidR="0050573A" w:rsidRDefault="00B64BF5">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Definition of Equitable </w:t>
      </w:r>
      <w:r>
        <w:rPr>
          <w:rFonts w:ascii="Times New Roman" w:eastAsia="Times New Roman" w:hAnsi="Times New Roman" w:cs="Times New Roman"/>
          <w:b/>
        </w:rPr>
        <w:t>Assessments</w:t>
      </w:r>
    </w:p>
    <w:p w14:paraId="00000016"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Equitable assessments involve interdisciplinary team members implementing a strength-based approach to highlight each child and family’s strengths, provide support based on identified needs, promote the types of social capital accessible to them, seek their full participation, and amplify their voice throughout the assessment process.</w:t>
      </w:r>
    </w:p>
    <w:p w14:paraId="00000017"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Such assessments are conducted by linguistically and culturally appropriate assessors with non-discriminatory, valid, authentic, and individualized tools and procedures selected specifically for use with each child.</w:t>
      </w:r>
    </w:p>
    <w:p w14:paraId="00000018"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Equitable assessments conducted in partnership with parents and caregivers embrace the primary role of the family in a child’s development and learning, reflect a well-rounded picture of a child’s current skills and abilities, include the hopes and expectations families have for their children, and honor each family’s values, languages, and culture.</w:t>
      </w:r>
    </w:p>
    <w:p w14:paraId="00000019" w14:textId="77777777" w:rsidR="0050573A" w:rsidRDefault="00B64B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Using universal design procedures to identify a child’s strengths throughout an equitable </w:t>
      </w:r>
      <w:r>
        <w:rPr>
          <w:rFonts w:ascii="Times New Roman" w:eastAsia="Times New Roman" w:hAnsi="Times New Roman" w:cs="Times New Roman"/>
        </w:rPr>
        <w:t>assessment yields information necessary to support their full engagement (i.e., learning, social, emotional, physical) in learning opportunities in a meaningful and equitable manner.</w:t>
      </w:r>
    </w:p>
    <w:p w14:paraId="0000001A" w14:textId="77777777" w:rsidR="0050573A" w:rsidRPr="00AA342F" w:rsidRDefault="00B64BF5">
      <w:pPr>
        <w:spacing w:line="480" w:lineRule="auto"/>
        <w:rPr>
          <w:rFonts w:ascii="Times New Roman" w:eastAsia="Times New Roman" w:hAnsi="Times New Roman" w:cs="Times New Roman"/>
          <w:b/>
          <w:bCs/>
          <w:iCs/>
        </w:rPr>
      </w:pPr>
      <w:r w:rsidRPr="00AA342F">
        <w:rPr>
          <w:rFonts w:ascii="Times New Roman" w:eastAsia="Times New Roman" w:hAnsi="Times New Roman" w:cs="Times New Roman"/>
          <w:b/>
          <w:bCs/>
          <w:iCs/>
        </w:rPr>
        <w:t>Recommendations</w:t>
      </w:r>
    </w:p>
    <w:p w14:paraId="0000001B" w14:textId="2496642D" w:rsidR="0050573A" w:rsidRDefault="00B64BF5">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Uphold the unique value and dignity of each child and family (</w:t>
      </w:r>
      <w:r w:rsidR="0095450F">
        <w:rPr>
          <w:rFonts w:ascii="Times New Roman" w:eastAsia="Times New Roman" w:hAnsi="Times New Roman" w:cs="Times New Roman"/>
        </w:rPr>
        <w:t xml:space="preserve">ECTA, 2023; Maryland State Department (MSD), n.d.; </w:t>
      </w:r>
      <w:r>
        <w:rPr>
          <w:rFonts w:ascii="Times New Roman" w:eastAsia="Times New Roman" w:hAnsi="Times New Roman" w:cs="Times New Roman"/>
        </w:rPr>
        <w:t>NAEYC, 2019)</w:t>
      </w:r>
    </w:p>
    <w:p w14:paraId="0000001C" w14:textId="65CD63D9" w:rsidR="0050573A" w:rsidRDefault="00B64BF5">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Gather information about the hopes and expectations families have for their children’s behavior, learning, and development so that you can support their goals (</w:t>
      </w:r>
      <w:r w:rsidR="0095450F">
        <w:rPr>
          <w:rFonts w:ascii="Times New Roman" w:eastAsia="Times New Roman" w:hAnsi="Times New Roman" w:cs="Times New Roman"/>
        </w:rPr>
        <w:t xml:space="preserve">Early Head Start (EHS), 2012; ECTA, 2023; MSD, n.d.; </w:t>
      </w:r>
      <w:r>
        <w:rPr>
          <w:rFonts w:ascii="Times New Roman" w:eastAsia="Times New Roman" w:hAnsi="Times New Roman" w:cs="Times New Roman"/>
        </w:rPr>
        <w:t>NAEYC, 2019)</w:t>
      </w:r>
    </w:p>
    <w:p w14:paraId="0000001D" w14:textId="16529222" w:rsidR="0050573A" w:rsidRDefault="00B64BF5">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Use authentic assessments that seek to identify children’s strengths and provide a well-rounded picture of development</w:t>
      </w:r>
      <w:r w:rsidR="0095450F">
        <w:rPr>
          <w:rFonts w:ascii="Times New Roman" w:eastAsia="Times New Roman" w:hAnsi="Times New Roman" w:cs="Times New Roman"/>
        </w:rPr>
        <w:t xml:space="preserve"> (ECTA, 2023; NAEYC, 2019; NCPFCE, 2023)</w:t>
      </w:r>
    </w:p>
    <w:p w14:paraId="0000001E" w14:textId="35BC7FDB" w:rsidR="0050573A" w:rsidRDefault="00B64BF5">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Ensure that any formal assessment tools are designed and validated for use with the children being assessed (i.e., linguistically and culturally appropriate assessors/assessments</w:t>
      </w:r>
      <w:r w:rsidR="0095450F">
        <w:rPr>
          <w:rFonts w:ascii="Times New Roman" w:eastAsia="Times New Roman" w:hAnsi="Times New Roman" w:cs="Times New Roman"/>
        </w:rPr>
        <w:t>; ECTA, 2023; NAEYC, 2019</w:t>
      </w:r>
      <w:r>
        <w:rPr>
          <w:rFonts w:ascii="Times New Roman" w:eastAsia="Times New Roman" w:hAnsi="Times New Roman" w:cs="Times New Roman"/>
        </w:rPr>
        <w:t>)</w:t>
      </w:r>
    </w:p>
    <w:p w14:paraId="1F313C6E" w14:textId="77777777" w:rsidR="0095450F" w:rsidRDefault="0095450F">
      <w:pPr>
        <w:rPr>
          <w:rFonts w:ascii="Times New Roman" w:eastAsia="Times New Roman" w:hAnsi="Times New Roman" w:cs="Times New Roman"/>
          <w:b/>
        </w:rPr>
      </w:pPr>
      <w:r>
        <w:rPr>
          <w:rFonts w:ascii="Times New Roman" w:eastAsia="Times New Roman" w:hAnsi="Times New Roman" w:cs="Times New Roman"/>
          <w:b/>
        </w:rPr>
        <w:br w:type="page"/>
      </w:r>
    </w:p>
    <w:p w14:paraId="0000001F" w14:textId="016F2028" w:rsidR="0050573A" w:rsidRDefault="00B64BF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37C82638"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Ages &amp; Stages. (n.d.). Why screening matters. Ages &amp; Stages. </w:t>
      </w:r>
    </w:p>
    <w:p w14:paraId="146F1600"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https://agesandstages.com/about-asq/why-screening-matters/ </w:t>
      </w:r>
    </w:p>
    <w:p w14:paraId="04ABC7CF"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Ages &amp; Stages. (n.d.). Why screening matters: Social-emotional screening. Ages &amp; Stages. </w:t>
      </w:r>
    </w:p>
    <w:p w14:paraId="4D1D0074"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https://agesandstages.com/about-asq/why-screening-matters/social-emotional-screening/ </w:t>
      </w:r>
    </w:p>
    <w:p w14:paraId="6CA73B14"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Archambault, J., Côté, D., &amp; Raynault, M. F. (2020). Early childhood education and care access </w:t>
      </w:r>
    </w:p>
    <w:p w14:paraId="66925F68"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children from disadvantaged backgrounds: Using a framework to guide intervention. </w:t>
      </w:r>
    </w:p>
    <w:p w14:paraId="1862FD43"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Early Childhood Education Journal, 48</w:t>
      </w:r>
      <w:r>
        <w:rPr>
          <w:rFonts w:ascii="Times New Roman" w:eastAsia="Times New Roman" w:hAnsi="Times New Roman" w:cs="Times New Roman"/>
        </w:rPr>
        <w:t>(3), 345–352. https://doi.org/10.1007/s10643-</w:t>
      </w:r>
      <w:r>
        <w:rPr>
          <w:rFonts w:ascii="Times New Roman" w:eastAsia="Times New Roman" w:hAnsi="Times New Roman" w:cs="Times New Roman"/>
        </w:rPr>
        <w:tab/>
        <w:t xml:space="preserve">019-01002-x </w:t>
      </w:r>
    </w:p>
    <w:p w14:paraId="289ABD12"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Barger, B. D., Rice, C. E., &amp; Roach, A. T. (2021). Developmental screening and monitoring are </w:t>
      </w:r>
    </w:p>
    <w:p w14:paraId="53542B30" w14:textId="77777777" w:rsidR="001A0CEA" w:rsidRDefault="001A0CEA" w:rsidP="001A0CEA">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 xml:space="preserve">associated with increased preschool special education receipt. </w:t>
      </w:r>
      <w:r>
        <w:rPr>
          <w:rFonts w:ascii="Times New Roman" w:eastAsia="Times New Roman" w:hAnsi="Times New Roman" w:cs="Times New Roman"/>
          <w:i/>
        </w:rPr>
        <w:t xml:space="preserve">Journal of Child and </w:t>
      </w:r>
    </w:p>
    <w:p w14:paraId="5F09AD7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Family Studies, 30</w:t>
      </w:r>
      <w:r>
        <w:rPr>
          <w:rFonts w:ascii="Times New Roman" w:eastAsia="Times New Roman" w:hAnsi="Times New Roman" w:cs="Times New Roman"/>
        </w:rPr>
        <w:t>(5), 1342–1352. https://doi.org/10.1007/s10826-021-01940-4</w:t>
      </w:r>
    </w:p>
    <w:p w14:paraId="1151D1E8"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Batz, R., &amp; Yadav, A. (2024). Parents’ Experiences Navigating Early Intervention and Early Childhood Special Education Services: A Qualitative Metasynthesis. </w:t>
      </w:r>
      <w:r>
        <w:rPr>
          <w:rFonts w:ascii="Times New Roman" w:eastAsia="Times New Roman" w:hAnsi="Times New Roman" w:cs="Times New Roman"/>
          <w:i/>
          <w:color w:val="000000"/>
        </w:rPr>
        <w:t>Journal of Early Intervention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46</w:t>
      </w:r>
      <w:r>
        <w:rPr>
          <w:rFonts w:ascii="Times New Roman" w:eastAsia="Times New Roman" w:hAnsi="Times New Roman" w:cs="Times New Roman"/>
          <w:color w:val="000000"/>
        </w:rPr>
        <w:t xml:space="preserve">(1), 19–38. </w:t>
      </w:r>
      <w:r>
        <w:rPr>
          <w:rFonts w:ascii="Times New Roman" w:eastAsia="Times New Roman" w:hAnsi="Times New Roman" w:cs="Times New Roman"/>
        </w:rPr>
        <w:t>https://doi.org/10.1177/10538151231164902</w:t>
      </w:r>
    </w:p>
    <w:p w14:paraId="0AEE72EC"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Budrevich-Ryan, A. &amp; Lothian, K. (2021). Washington’s preschool development grant: Data </w:t>
      </w:r>
    </w:p>
    <w:p w14:paraId="78BB7FB4"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equity in evaluation [Webinar]. Washington State Department of Children, Youth, and </w:t>
      </w:r>
    </w:p>
    <w:p w14:paraId="4C1F1087" w14:textId="77777777" w:rsidR="001A0CEA" w:rsidRDefault="001A0CEA" w:rsidP="001A0CEA">
      <w:pPr>
        <w:spacing w:line="480" w:lineRule="auto"/>
        <w:ind w:left="720"/>
        <w:rPr>
          <w:rFonts w:ascii="Times New Roman" w:eastAsia="Times New Roman" w:hAnsi="Times New Roman" w:cs="Times New Roman"/>
        </w:rPr>
      </w:pPr>
      <w:r>
        <w:rPr>
          <w:rFonts w:ascii="Times New Roman" w:eastAsia="Times New Roman" w:hAnsi="Times New Roman" w:cs="Times New Roman"/>
        </w:rPr>
        <w:t>Families.https://www.acf.hhs.gov/sites/default/files/documents/ecd/Equity%20in%20Early%20Chi ldhood%20Data%20Webinar.pdf</w:t>
      </w:r>
    </w:p>
    <w:p w14:paraId="5EC9F9B6" w14:textId="77777777" w:rsidR="001A0CEA" w:rsidRDefault="001A0CEA" w:rsidP="001A0CEA">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Centers for Disease Control and Prevention. (2024). </w:t>
      </w:r>
      <w:r>
        <w:rPr>
          <w:rFonts w:ascii="Times New Roman" w:eastAsia="Times New Roman" w:hAnsi="Times New Roman" w:cs="Times New Roman"/>
          <w:i/>
        </w:rPr>
        <w:t xml:space="preserve">Developmental monitoring and </w:t>
      </w:r>
    </w:p>
    <w:p w14:paraId="057D9FD3"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screening</w:t>
      </w:r>
      <w:r>
        <w:rPr>
          <w:rFonts w:ascii="Times New Roman" w:eastAsia="Times New Roman" w:hAnsi="Times New Roman" w:cs="Times New Roman"/>
        </w:rPr>
        <w:t>. https://www.cdc.gov/ncbddd/actearly/screening.html</w:t>
      </w:r>
    </w:p>
    <w:p w14:paraId="3F6919ED"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Centers for Disease Control and Prevention (2023). Learn the Signs. Act Early. Early Intervention. CDC. https://www.cdc.gov/ncbddd/actearly/parents/states.html</w:t>
      </w:r>
    </w:p>
    <w:p w14:paraId="3E145C62"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Chen, C., Anunciação, L. &amp; Stegenga, S. (2023). Developmental and social-emotional </w:t>
      </w:r>
    </w:p>
    <w:p w14:paraId="2E28F9CA"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screening. </w:t>
      </w:r>
      <w:r>
        <w:rPr>
          <w:rFonts w:ascii="Times New Roman" w:eastAsia="Times New Roman" w:hAnsi="Times New Roman" w:cs="Times New Roman"/>
          <w:i/>
        </w:rPr>
        <w:t>Infants &amp; Young Children, 36</w:t>
      </w:r>
      <w:r>
        <w:rPr>
          <w:rFonts w:ascii="Times New Roman" w:eastAsia="Times New Roman" w:hAnsi="Times New Roman" w:cs="Times New Roman"/>
        </w:rPr>
        <w:t xml:space="preserve">(4), 285-295. </w:t>
      </w:r>
    </w:p>
    <w:p w14:paraId="75037A38"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https://doi.org10.1097/IYC.0000000000000249</w:t>
      </w:r>
    </w:p>
    <w:p w14:paraId="2174AD42"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Child Care State Capacity Building Center. (2023). Early Childhood Systems Building Resource Guide: Equity. https://childcareta.acf.hhs.gov/sites/default/files/newocc/resource/files/SBRG%20-%20Equity_2023.pdf  </w:t>
      </w:r>
    </w:p>
    <w:p w14:paraId="14277AA5"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Coker, T. R., Gottschlich, E. A., Burr, W. H., &amp; Lipkin, P. H. (2024). Early childhood screening practices and barriers: A national survey of primary care pediatricians. </w:t>
      </w:r>
      <w:r>
        <w:rPr>
          <w:rFonts w:ascii="Times New Roman" w:eastAsia="Times New Roman" w:hAnsi="Times New Roman" w:cs="Times New Roman"/>
          <w:i/>
        </w:rPr>
        <w:t>Pediatrics,154</w:t>
      </w:r>
      <w:r>
        <w:rPr>
          <w:rFonts w:ascii="Times New Roman" w:eastAsia="Times New Roman" w:hAnsi="Times New Roman" w:cs="Times New Roman"/>
        </w:rPr>
        <w:t xml:space="preserve">(2). https://doi.org/10.1542/peds.2023-065552 </w:t>
      </w:r>
    </w:p>
    <w:p w14:paraId="4998D239"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Department of Education. (n.d.). Part C Administrator Implementation Technical Assistance </w:t>
      </w:r>
    </w:p>
    <w:p w14:paraId="06C5BD16"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Guide: Developmental Monitoring, Screening, and Referral [Tip Sheet]. </w:t>
      </w:r>
    </w:p>
    <w:p w14:paraId="6AF3A971"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https://sites.ed.gov/idea/files/Early-Learning-Monitoring-English-508.pdf</w:t>
      </w:r>
    </w:p>
    <w:p w14:paraId="20B83396"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Derman-Sparks, L., Edwards, J. O., &amp; Goins, C. M. (2020). Anti-bias education for young </w:t>
      </w:r>
    </w:p>
    <w:p w14:paraId="559FCBB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children and ourselves (2nd ed.). National Association for the Education of Young </w:t>
      </w:r>
    </w:p>
    <w:p w14:paraId="6E583873"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Children. </w:t>
      </w:r>
    </w:p>
    <w:p w14:paraId="497A7A5B"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Division for Early Childhood. (2014). DEC recommended practices in early intervention/early </w:t>
      </w:r>
    </w:p>
    <w:p w14:paraId="7AB4C228"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childhood special education. http://www.dec-sped.org/dec-recommended-practices </w:t>
      </w:r>
    </w:p>
    <w:p w14:paraId="03897537"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Division of Early Childhood. (2022). Initial practice-based professional preparation standards for early intervention and early childhood special education. https://www.dec-sped.org/ei-ecse-standards </w:t>
      </w:r>
    </w:p>
    <w:p w14:paraId="4B627C0C"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Drymond, M., Sanchez, A., von der Embse, N., Francis, G., Ross, D., and Khallaghi, S. (2023) Universal screening in early childhood populations: A systematic review, Perspectives on </w:t>
      </w:r>
      <w:r>
        <w:rPr>
          <w:rFonts w:ascii="Times New Roman" w:eastAsia="Times New Roman" w:hAnsi="Times New Roman" w:cs="Times New Roman"/>
          <w:i/>
        </w:rPr>
        <w:lastRenderedPageBreak/>
        <w:t>Early Childhood Psychology and Education, 7</w:t>
      </w:r>
      <w:r>
        <w:rPr>
          <w:rFonts w:ascii="Times New Roman" w:eastAsia="Times New Roman" w:hAnsi="Times New Roman" w:cs="Times New Roman"/>
        </w:rPr>
        <w:t>(1) https://doi.org/10.58948/2834-8257.1035</w:t>
      </w:r>
    </w:p>
    <w:p w14:paraId="1C3DB3A0"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Childhood Learning &amp; Knowledge Center. (2021). Developmental screening for children </w:t>
      </w:r>
    </w:p>
    <w:p w14:paraId="0620BDB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ages birth to 5. U.S. Department of Health &amp; Human Services. </w:t>
      </w:r>
    </w:p>
    <w:p w14:paraId="311BF9D7"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https://eclkc.ohs.acf.hhs.gov/child-screening-assessment/article/developmental-screening</w:t>
      </w:r>
    </w:p>
    <w:p w14:paraId="194C8274"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-children-ages-birth-5 </w:t>
      </w:r>
    </w:p>
    <w:p w14:paraId="27354B59"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Early Childhood Personnel Center (n.d.). </w:t>
      </w:r>
      <w:r>
        <w:rPr>
          <w:rFonts w:ascii="Times New Roman" w:eastAsia="Times New Roman" w:hAnsi="Times New Roman" w:cs="Times New Roman"/>
          <w:i/>
        </w:rPr>
        <w:t>Diversifying the Early Childhood Workforce in Early Childhood Special Education</w:t>
      </w:r>
      <w:r>
        <w:rPr>
          <w:rFonts w:ascii="Times New Roman" w:eastAsia="Times New Roman" w:hAnsi="Times New Roman" w:cs="Times New Roman"/>
        </w:rPr>
        <w:t>.  https://ecpctaorg.media.uconn.edu/wpcontent/uploads/sites/2810/2022/06/DiversifyingEC-Workforce-in-ECSE.pdf</w:t>
      </w:r>
    </w:p>
    <w:p w14:paraId="42985971"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Early Childhood Personnel Center. (2014). </w:t>
      </w:r>
      <w:r>
        <w:rPr>
          <w:rFonts w:ascii="Times New Roman" w:eastAsia="Times New Roman" w:hAnsi="Times New Roman" w:cs="Times New Roman"/>
          <w:i/>
        </w:rPr>
        <w:t>Systematic review of models of state agency and institutions of higher education practices leading to alignment of preservice and inservice training for early childhood interventionists: Literature synthesis 2</w:t>
      </w:r>
      <w:r>
        <w:rPr>
          <w:rFonts w:ascii="Times New Roman" w:eastAsia="Times New Roman" w:hAnsi="Times New Roman" w:cs="Times New Roman"/>
        </w:rPr>
        <w:t>. https://ecpcta.media.uconn.edu/wp-content/uploads/sites/2810/2020/08/Literature-Synthesis-2.pdf</w:t>
      </w:r>
    </w:p>
    <w:p w14:paraId="69AC2229"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Childhood Technical Assistance Center, &amp; National Center for Pyramid Model </w:t>
      </w:r>
    </w:p>
    <w:p w14:paraId="0BA75E22"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Innovations. (2023). Indicators of High-Quality Inclusion. </w:t>
      </w:r>
    </w:p>
    <w:p w14:paraId="2ED2ECA9"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https://ectacenter.org/topics/inclusion/indicators.asp </w:t>
      </w:r>
    </w:p>
    <w:p w14:paraId="6CCDCC9C"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Early Childhood Technical Assistance Center (n.d.). </w:t>
      </w:r>
      <w:r>
        <w:rPr>
          <w:rFonts w:ascii="Times New Roman" w:eastAsia="Times New Roman" w:hAnsi="Times New Roman" w:cs="Times New Roman"/>
          <w:i/>
          <w:color w:val="000000"/>
        </w:rPr>
        <w:t>Family Outcomes</w:t>
      </w:r>
      <w:r>
        <w:rPr>
          <w:rFonts w:ascii="Times New Roman" w:eastAsia="Times New Roman" w:hAnsi="Times New Roman" w:cs="Times New Roman"/>
          <w:color w:val="000000"/>
        </w:rPr>
        <w:t xml:space="preserve">. ECTA Center. </w:t>
      </w:r>
      <w:r>
        <w:rPr>
          <w:rFonts w:ascii="Times New Roman" w:eastAsia="Times New Roman" w:hAnsi="Times New Roman" w:cs="Times New Roman"/>
        </w:rPr>
        <w:t>https://ectacenter.org/eco/pages/familyoutcomes.asp</w:t>
      </w:r>
    </w:p>
    <w:p w14:paraId="2E2F65DF"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Head Start. (n.d.). Developmental Screening and Referral: Early Head Start and the </w:t>
      </w:r>
    </w:p>
    <w:p w14:paraId="6B63F6B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Program for Infants and Toddlers with Disabilities (Part C of IDEA) [Tip Sheet]. </w:t>
      </w:r>
    </w:p>
    <w:p w14:paraId="74FDFC50"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https://ectacenter.org/~pdfs/topics/earlyid/screening_one_pager_4.pdf</w:t>
      </w:r>
    </w:p>
    <w:p w14:paraId="4EC57DBA"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Friedman, S., &amp; Mwenelupembe, A. (2020). Each and every child: Teaching preschool with an </w:t>
      </w:r>
    </w:p>
    <w:p w14:paraId="09751B5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equity lens. NAEYC. </w:t>
      </w:r>
    </w:p>
    <w:p w14:paraId="6CA7B3F8"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Gilliam, W.S., Maupin A.N., Reyes, C.R, et al. (2016). Do Early Educators’ Implicit Biases </w:t>
      </w:r>
    </w:p>
    <w:p w14:paraId="78B03497"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Regarding Sex and Race Relate to Behavior Expectations and Recommendations of </w:t>
      </w:r>
    </w:p>
    <w:p w14:paraId="1ADE7CAB"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Preschool Expulsions and Suspensions? Yale Child Study Center. </w:t>
      </w:r>
    </w:p>
    <w:p w14:paraId="646170AE"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75afe6d2-e556-4794-bf8c-3cf105113b7c (yale.edu) </w:t>
      </w:r>
    </w:p>
    <w:p w14:paraId="092CA4C5"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Head Start Center for Inclusion. (2019). </w:t>
      </w:r>
      <w:r>
        <w:rPr>
          <w:rFonts w:ascii="Times New Roman" w:eastAsia="Times New Roman" w:hAnsi="Times New Roman" w:cs="Times New Roman"/>
          <w:i/>
        </w:rPr>
        <w:t xml:space="preserve">Tips for Educators: Universal Design for Learning </w:t>
      </w:r>
      <w:r>
        <w:rPr>
          <w:rFonts w:ascii="Times New Roman" w:eastAsia="Times New Roman" w:hAnsi="Times New Roman" w:cs="Times New Roman"/>
        </w:rPr>
        <w:t>[Tip Sheet]. https://eclkc.ohs.acf.hhs.gov/sites/default/files/pdf/it-tips-udl.pdf</w:t>
      </w:r>
    </w:p>
    <w:p w14:paraId="10B9E014"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Hirai, A. H., Kogan, M. D., Kandasamy, V., Reuland, C., &amp; Bethell, C. (2018). Prevalence and </w:t>
      </w:r>
    </w:p>
    <w:p w14:paraId="45D60FD2" w14:textId="77777777" w:rsidR="001A0CEA" w:rsidRDefault="001A0CEA" w:rsidP="001A0CEA">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 xml:space="preserve">variation of developmental screening and surveillance in early childhood. </w:t>
      </w:r>
      <w:r>
        <w:rPr>
          <w:rFonts w:ascii="Times New Roman" w:eastAsia="Times New Roman" w:hAnsi="Times New Roman" w:cs="Times New Roman"/>
          <w:i/>
        </w:rPr>
        <w:t xml:space="preserve">JAMA </w:t>
      </w:r>
    </w:p>
    <w:p w14:paraId="4029B9BD"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Pediatrics</w:t>
      </w:r>
      <w:r>
        <w:rPr>
          <w:rFonts w:ascii="Times New Roman" w:eastAsia="Times New Roman" w:hAnsi="Times New Roman" w:cs="Times New Roman"/>
        </w:rPr>
        <w:t xml:space="preserve">, </w:t>
      </w:r>
      <w:r>
        <w:rPr>
          <w:rFonts w:ascii="Times New Roman" w:eastAsia="Times New Roman" w:hAnsi="Times New Roman" w:cs="Times New Roman"/>
          <w:i/>
        </w:rPr>
        <w:t>172</w:t>
      </w:r>
      <w:r>
        <w:rPr>
          <w:rFonts w:ascii="Times New Roman" w:eastAsia="Times New Roman" w:hAnsi="Times New Roman" w:cs="Times New Roman"/>
        </w:rPr>
        <w:t>(9), 857–866. https://doi.org/10.1001/jamapediatrics.2018.1524</w:t>
      </w:r>
    </w:p>
    <w:p w14:paraId="1BC76852"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Iruka, I.U. (2021). Equity centered data analytics [Webinar]. Equity Research Action Coalition, UNC Frank Porter Graham Child Development Institute. https://www.acf.hhs.gov/sites/default/files/documents/ecd/Equity%20in%20Early%20Childhood%20Data%20Webinar.pdf</w:t>
      </w:r>
    </w:p>
    <w:p w14:paraId="4BF9D167" w14:textId="36DA7073" w:rsidR="001A0CEA" w:rsidRDefault="001A0CEA" w:rsidP="001A0CEA">
      <w:pPr>
        <w:spacing w:after="160"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Landry, S. H., Zucker, T. A., Taylor, H. B., Swank, P. R., Williams, J. M., Assel, M., ... &amp; Klein, A. (2014). Enhancing early childcare quality and learning for toddlers at risk: the responsive early childhood program. Developmental psychology, 50(2), 526.</w:t>
      </w:r>
    </w:p>
    <w:p w14:paraId="49E33E6D"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Lifter, K., Foster-Sanda, S., Arzamarski, C., Briesch, J., &amp; McClure, E. (2011). Overview of play: Its uses and importance in early intervention/early childhood special education. </w:t>
      </w:r>
      <w:r>
        <w:rPr>
          <w:rFonts w:ascii="Times New Roman" w:eastAsia="Times New Roman" w:hAnsi="Times New Roman" w:cs="Times New Roman"/>
          <w:i/>
          <w:color w:val="000000"/>
        </w:rPr>
        <w:t>Infants and Young Children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24</w:t>
      </w:r>
      <w:r>
        <w:rPr>
          <w:rFonts w:ascii="Times New Roman" w:eastAsia="Times New Roman" w:hAnsi="Times New Roman" w:cs="Times New Roman"/>
          <w:color w:val="000000"/>
        </w:rPr>
        <w:t xml:space="preserve">(3), 225–245. </w:t>
      </w:r>
      <w:r>
        <w:rPr>
          <w:rFonts w:ascii="Times New Roman" w:eastAsia="Times New Roman" w:hAnsi="Times New Roman" w:cs="Times New Roman"/>
        </w:rPr>
        <w:t>https://doi.org/10.1097/IYC.0b013e31821e995c</w:t>
      </w:r>
    </w:p>
    <w:p w14:paraId="2DDEA58E" w14:textId="77777777" w:rsidR="001A0CEA" w:rsidRDefault="001A0CEA" w:rsidP="001A0CEA">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Maryland State Department (n.d.) </w:t>
      </w:r>
      <w:r>
        <w:rPr>
          <w:rFonts w:ascii="Times New Roman" w:eastAsia="Times New Roman" w:hAnsi="Times New Roman" w:cs="Times New Roman"/>
          <w:i/>
        </w:rPr>
        <w:t xml:space="preserve">The Early Childhood Family Engagement Framework: </w:t>
      </w:r>
    </w:p>
    <w:p w14:paraId="5181F6C7"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lastRenderedPageBreak/>
        <w:t>Maryland’s Vision for Engaging Families with Young Children</w:t>
      </w:r>
      <w:r>
        <w:rPr>
          <w:rFonts w:ascii="Times New Roman" w:eastAsia="Times New Roman" w:hAnsi="Times New Roman" w:cs="Times New Roman"/>
        </w:rPr>
        <w:t xml:space="preserve">. The Maryland Family </w:t>
      </w:r>
    </w:p>
    <w:p w14:paraId="01E500F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Engagement Coalition.</w:t>
      </w:r>
    </w:p>
    <w:p w14:paraId="4963DBCD"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Meurer, J., Rohloff, R., Rein, L., Kanter, I., Kotagiri, N., Gundacker, C., &amp; Tarima, S. (2022). </w:t>
      </w:r>
    </w:p>
    <w:p w14:paraId="16F424EA"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Improving child development screening: Implications for professional practice and </w:t>
      </w:r>
    </w:p>
    <w:p w14:paraId="2F38DC88"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patient equity. </w:t>
      </w:r>
      <w:r>
        <w:rPr>
          <w:rFonts w:ascii="Times New Roman" w:eastAsia="Times New Roman" w:hAnsi="Times New Roman" w:cs="Times New Roman"/>
          <w:i/>
        </w:rPr>
        <w:t>Journal of Primary Care &amp; Community Health</w:t>
      </w:r>
      <w:r>
        <w:rPr>
          <w:rFonts w:ascii="Times New Roman" w:eastAsia="Times New Roman" w:hAnsi="Times New Roman" w:cs="Times New Roman"/>
        </w:rPr>
        <w:t xml:space="preserve">, 13,21501319211062676. </w:t>
      </w:r>
    </w:p>
    <w:p w14:paraId="337117BC"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https://doi.org/10.1177/21501319211062676 </w:t>
      </w:r>
    </w:p>
    <w:p w14:paraId="14A86855"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Moran, K. K., &amp; Sheppard, M. E. (2023). Finding the On Ramp: Accessing Early Intervention and Early Childhood Special Education in an Urban Setting. </w:t>
      </w:r>
      <w:r>
        <w:rPr>
          <w:rFonts w:ascii="Times New Roman" w:eastAsia="Times New Roman" w:hAnsi="Times New Roman" w:cs="Times New Roman"/>
          <w:i/>
          <w:color w:val="000000"/>
        </w:rPr>
        <w:t>Journal of Early Intervention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45</w:t>
      </w:r>
      <w:r>
        <w:rPr>
          <w:rFonts w:ascii="Times New Roman" w:eastAsia="Times New Roman" w:hAnsi="Times New Roman" w:cs="Times New Roman"/>
          <w:color w:val="000000"/>
        </w:rPr>
        <w:t xml:space="preserve">(4), 391–407. </w:t>
      </w:r>
      <w:r>
        <w:rPr>
          <w:rFonts w:ascii="Times New Roman" w:eastAsia="Times New Roman" w:hAnsi="Times New Roman" w:cs="Times New Roman"/>
        </w:rPr>
        <w:t>https://doi.org/10.1177/10538151221137801</w:t>
      </w:r>
    </w:p>
    <w:p w14:paraId="1BB740F9"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Morgan, P. L., Farkas, G., Hillemeier, M. M., &amp; Maczuga, S. (2012). Are minority children disproportionately represented in early intervention and early childhood special education? </w:t>
      </w:r>
      <w:r>
        <w:rPr>
          <w:rFonts w:ascii="Times New Roman" w:eastAsia="Times New Roman" w:hAnsi="Times New Roman" w:cs="Times New Roman"/>
          <w:i/>
        </w:rPr>
        <w:t>Educational Researcher, 41</w:t>
      </w:r>
      <w:r>
        <w:rPr>
          <w:rFonts w:ascii="Times New Roman" w:eastAsia="Times New Roman" w:hAnsi="Times New Roman" w:cs="Times New Roman"/>
        </w:rPr>
        <w:t>(9), 339-351. https://doi.org/10.3102/0013189X12459678</w:t>
      </w:r>
    </w:p>
    <w:p w14:paraId="60445DDB"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Movahedazarhouligh, S. (2021). Parent-implemented interventions and family-centered service delivery approaches in early intervention and early childhood special education. </w:t>
      </w:r>
      <w:r>
        <w:rPr>
          <w:rFonts w:ascii="Times New Roman" w:eastAsia="Times New Roman" w:hAnsi="Times New Roman" w:cs="Times New Roman"/>
          <w:i/>
          <w:color w:val="000000"/>
        </w:rPr>
        <w:t>Early Child Development and Care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191</w:t>
      </w:r>
      <w:r>
        <w:rPr>
          <w:rFonts w:ascii="Times New Roman" w:eastAsia="Times New Roman" w:hAnsi="Times New Roman" w:cs="Times New Roman"/>
          <w:color w:val="000000"/>
        </w:rPr>
        <w:t xml:space="preserve">(1), 1–12. </w:t>
      </w:r>
      <w:r>
        <w:rPr>
          <w:rFonts w:ascii="Times New Roman" w:eastAsia="Times New Roman" w:hAnsi="Times New Roman" w:cs="Times New Roman"/>
        </w:rPr>
        <w:t>https://doi.org/10.1080/03004430.2019.1603148</w:t>
      </w:r>
    </w:p>
    <w:p w14:paraId="39D18CC0"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National Academies of Sciences, Engineering, and Medicine. (2019). Monitoring educational </w:t>
      </w:r>
    </w:p>
    <w:p w14:paraId="371174B2"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equity. The National Academies Press. https://doi.org/10.17226/25389 </w:t>
      </w:r>
    </w:p>
    <w:p w14:paraId="33B6AD6D"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National Association for the Education of Young Children. (2019). Advancing equity in early </w:t>
      </w:r>
    </w:p>
    <w:p w14:paraId="0228037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childhood education: A position statement of the National Association for the Education</w:t>
      </w:r>
    </w:p>
    <w:p w14:paraId="541ACAE5"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of Young Children. </w:t>
      </w:r>
    </w:p>
    <w:p w14:paraId="22E69008"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National Research Council. (2008). Early Childhood Assessment: Why, What, and How. </w:t>
      </w:r>
    </w:p>
    <w:p w14:paraId="02304F6A"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Washington, DC: The National Academies Press. https://doi.org/10.17226/12446. </w:t>
      </w:r>
    </w:p>
    <w:p w14:paraId="12633415"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Office of Child Care. (2023). Equity considerations: Key indicators of high-quality family engagement in QRIS. U.S. Department of Health &amp; Human Services. https://childcareta.acf.hhs.gov/sites/default/files/new-occ/resource/files/equityconsiderations-key-indicators-high-quality-family-engagement-QRIS-2023-update.pdf  </w:t>
      </w:r>
    </w:p>
    <w:p w14:paraId="02D1C14F"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Scheibe, F. &amp; Peyton, S. (2021). Equity in early childhood data [Webinar]. PDG B-5 TA Center. https://www.acf.hhs.gov/sites/default/files/documents/ecd/Equity%20in%20Early%20Childhood%20Data%20Webinar.pdf</w:t>
      </w:r>
    </w:p>
    <w:p w14:paraId="20BA70B1"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Souto-Manning, M., Rabadi-Raol, A., Robinson, D., &amp; Perez, A. (2019). What stories do my </w:t>
      </w:r>
    </w:p>
    <w:p w14:paraId="261D9840" w14:textId="3987905F"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classroom and its materials tell? Preparing early childhood teachers to engage in </w:t>
      </w:r>
    </w:p>
    <w:p w14:paraId="5866A3EB"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equitable and inclusive teaching. </w:t>
      </w:r>
      <w:r>
        <w:rPr>
          <w:rFonts w:ascii="Times New Roman" w:eastAsia="Times New Roman" w:hAnsi="Times New Roman" w:cs="Times New Roman"/>
          <w:i/>
        </w:rPr>
        <w:t>Young Exceptional Children</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 xml:space="preserve">(2), 62–73. </w:t>
      </w:r>
    </w:p>
    <w:p w14:paraId="74AB51F3"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https://doi.org/10.1177/1096250618811619</w:t>
      </w:r>
    </w:p>
    <w:p w14:paraId="6B73C079" w14:textId="77777777"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U.S. Department of Health and Human Services, Administration for Children and Families, Office of Head Start, National Center on Parent, Family, and Community Engagement. (2023). Including High-Quality and Equitable Family Engagement Indicators in Quality Rating and Improvement Systems: An Update. https://childcareta.acf.hhs.gov/sites/default/files/new-occ/resource/files/equityconsiderations-key-indicators-high-quality-family-engagement-QRIS-2023-update.pdf  </w:t>
      </w:r>
    </w:p>
    <w:p w14:paraId="52ABE30F" w14:textId="61BE95A4" w:rsidR="001A0CEA" w:rsidRDefault="001A0CEA" w:rsidP="001A0CE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Vandenbroeck, M., De Visscher, S., Van Nuffel, K., &amp; Ferla, J. (2008). Mothers’ search for infant childcare: The dynamic relationship between availability and desirability in a </w:t>
      </w:r>
      <w:r>
        <w:rPr>
          <w:rFonts w:ascii="Times New Roman" w:eastAsia="Times New Roman" w:hAnsi="Times New Roman" w:cs="Times New Roman"/>
        </w:rPr>
        <w:lastRenderedPageBreak/>
        <w:t xml:space="preserve">continental European welfare state. </w:t>
      </w:r>
      <w:r>
        <w:rPr>
          <w:rFonts w:ascii="Times New Roman" w:eastAsia="Times New Roman" w:hAnsi="Times New Roman" w:cs="Times New Roman"/>
          <w:i/>
        </w:rPr>
        <w:t>Early Childhood Research Quarterly</w:t>
      </w:r>
      <w:r>
        <w:rPr>
          <w:rFonts w:ascii="Times New Roman" w:eastAsia="Times New Roman" w:hAnsi="Times New Roman" w:cs="Times New Roman"/>
        </w:rPr>
        <w:t xml:space="preserve">, </w:t>
      </w:r>
      <w:r>
        <w:rPr>
          <w:rFonts w:ascii="Times New Roman" w:eastAsia="Times New Roman" w:hAnsi="Times New Roman" w:cs="Times New Roman"/>
          <w:i/>
        </w:rPr>
        <w:t>23</w:t>
      </w:r>
      <w:r>
        <w:rPr>
          <w:rFonts w:ascii="Times New Roman" w:eastAsia="Times New Roman" w:hAnsi="Times New Roman" w:cs="Times New Roman"/>
        </w:rPr>
        <w:t>(2), 245–258. https://doi.org/10.1016/j.ecresq.2007.09.002</w:t>
      </w:r>
    </w:p>
    <w:p w14:paraId="27328F17" w14:textId="77777777" w:rsidR="001A0CEA" w:rsidRDefault="001A0CEA" w:rsidP="001A0CEA">
      <w:pPr>
        <w:spacing w:line="480" w:lineRule="auto"/>
        <w:rPr>
          <w:rFonts w:ascii="Times New Roman" w:eastAsia="Times New Roman" w:hAnsi="Times New Roman" w:cs="Times New Roman"/>
        </w:rPr>
      </w:pPr>
      <w:r>
        <w:rPr>
          <w:rFonts w:ascii="Times New Roman" w:eastAsia="Times New Roman" w:hAnsi="Times New Roman" w:cs="Times New Roman"/>
        </w:rPr>
        <w:t xml:space="preserve">Wisconsin Department of Public Instruction. (n.d.). Early childhood assessment tools. </w:t>
      </w:r>
    </w:p>
    <w:p w14:paraId="59A83A9F" w14:textId="77777777" w:rsidR="001A0CEA" w:rsidRDefault="001A0CEA" w:rsidP="001A0CE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https://dpi.wi.gov/sites/default/files/imce/sped/pdf/EC_Assessment_Tools.pdf </w:t>
      </w:r>
    </w:p>
    <w:p w14:paraId="00000047" w14:textId="05284AE1" w:rsidR="0050573A" w:rsidRDefault="001A0CEA" w:rsidP="001A0CEA">
      <w:pPr>
        <w:spacing w:after="160"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rPr>
        <w:t xml:space="preserve">Zwaigenbaum, L., Bauman, M. L., Choueiri, R., Kasari, C., Carter, A., Granpeesheh, D., Mailloux, Z., Smith Roley, S., Wagner, S., Fein, D., Pierce, K., Buie, T., Davis, P. A., Newschaffer, C., Robins, D., Wetherby, A., Stone, W. L., Yirmiya, N., Estes, A., … Natowicz, M. R. (2015). Early Intervention for Children With Autism Spectrum Disorder Under 3 Years of Age: Recommendations for Practice and Research. </w:t>
      </w:r>
      <w:r>
        <w:rPr>
          <w:rFonts w:ascii="Times New Roman" w:eastAsia="Times New Roman" w:hAnsi="Times New Roman" w:cs="Times New Roman"/>
          <w:i/>
          <w:color w:val="000000"/>
        </w:rPr>
        <w:t>Pediatrics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136 Suppl 1</w:t>
      </w:r>
      <w:r>
        <w:rPr>
          <w:rFonts w:ascii="Times New Roman" w:eastAsia="Times New Roman" w:hAnsi="Times New Roman" w:cs="Times New Roman"/>
          <w:color w:val="000000"/>
        </w:rPr>
        <w:t xml:space="preserve">(Supplement_1), S60–S81. </w:t>
      </w:r>
      <w:r>
        <w:rPr>
          <w:rFonts w:ascii="Times New Roman" w:eastAsia="Times New Roman" w:hAnsi="Times New Roman" w:cs="Times New Roman"/>
        </w:rPr>
        <w:t xml:space="preserve">https://doi.org/10.1542/peds.2014-3667E </w:t>
      </w:r>
    </w:p>
    <w:sectPr w:rsidR="0050573A">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E451" w14:textId="77777777" w:rsidR="005E32A8" w:rsidRDefault="005E32A8">
      <w:r>
        <w:separator/>
      </w:r>
    </w:p>
  </w:endnote>
  <w:endnote w:type="continuationSeparator" w:id="0">
    <w:p w14:paraId="13ED38F3" w14:textId="77777777" w:rsidR="005E32A8" w:rsidRDefault="005E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1B7CF422" w:rsidR="0050573A" w:rsidRDefault="00B64BF5">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A0CEA">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0C039" w14:textId="77777777" w:rsidR="005E32A8" w:rsidRDefault="005E32A8">
      <w:r>
        <w:separator/>
      </w:r>
    </w:p>
  </w:footnote>
  <w:footnote w:type="continuationSeparator" w:id="0">
    <w:p w14:paraId="58ED42D2" w14:textId="77777777" w:rsidR="005E32A8" w:rsidRDefault="005E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0633D"/>
    <w:multiLevelType w:val="multilevel"/>
    <w:tmpl w:val="DE6EB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6E4A2F"/>
    <w:multiLevelType w:val="multilevel"/>
    <w:tmpl w:val="5136D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850836">
    <w:abstractNumId w:val="0"/>
  </w:num>
  <w:num w:numId="2" w16cid:durableId="107107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3A"/>
    <w:rsid w:val="001A0CEA"/>
    <w:rsid w:val="0050573A"/>
    <w:rsid w:val="005E32A8"/>
    <w:rsid w:val="0095450F"/>
    <w:rsid w:val="00972995"/>
    <w:rsid w:val="00AA342F"/>
    <w:rsid w:val="00B10E7B"/>
    <w:rsid w:val="00B64BF5"/>
    <w:rsid w:val="00E2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6234"/>
  <w15:docId w15:val="{A10CC9FA-CA16-9546-91FA-2BD869F2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3"/>
  </w:style>
  <w:style w:type="paragraph" w:styleId="Heading1">
    <w:name w:val="heading 1"/>
    <w:basedOn w:val="Normal"/>
    <w:next w:val="Normal"/>
    <w:link w:val="Heading1Char"/>
    <w:uiPriority w:val="9"/>
    <w:qFormat/>
    <w:rsid w:val="005D2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7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7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7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7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7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7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7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7D3"/>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27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7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7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7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7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7D3"/>
    <w:rPr>
      <w:rFonts w:eastAsiaTheme="majorEastAsia" w:cstheme="majorBidi"/>
      <w:color w:val="272727" w:themeColor="text1" w:themeTint="D8"/>
    </w:rPr>
  </w:style>
  <w:style w:type="character" w:customStyle="1" w:styleId="TitleChar">
    <w:name w:val="Title Char"/>
    <w:basedOn w:val="DefaultParagraphFont"/>
    <w:link w:val="Title"/>
    <w:uiPriority w:val="10"/>
    <w:rsid w:val="005D2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5D2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7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27D3"/>
    <w:rPr>
      <w:i/>
      <w:iCs/>
      <w:color w:val="404040" w:themeColor="text1" w:themeTint="BF"/>
    </w:rPr>
  </w:style>
  <w:style w:type="paragraph" w:styleId="ListParagraph">
    <w:name w:val="List Paragraph"/>
    <w:basedOn w:val="Normal"/>
    <w:uiPriority w:val="34"/>
    <w:qFormat/>
    <w:rsid w:val="005D27D3"/>
    <w:pPr>
      <w:ind w:left="720"/>
      <w:contextualSpacing/>
    </w:pPr>
  </w:style>
  <w:style w:type="character" w:styleId="IntenseEmphasis">
    <w:name w:val="Intense Emphasis"/>
    <w:basedOn w:val="DefaultParagraphFont"/>
    <w:uiPriority w:val="21"/>
    <w:qFormat/>
    <w:rsid w:val="005D27D3"/>
    <w:rPr>
      <w:i/>
      <w:iCs/>
      <w:color w:val="2F5496" w:themeColor="accent1" w:themeShade="BF"/>
    </w:rPr>
  </w:style>
  <w:style w:type="paragraph" w:styleId="IntenseQuote">
    <w:name w:val="Intense Quote"/>
    <w:basedOn w:val="Normal"/>
    <w:next w:val="Normal"/>
    <w:link w:val="IntenseQuoteChar"/>
    <w:uiPriority w:val="30"/>
    <w:qFormat/>
    <w:rsid w:val="005D2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7D3"/>
    <w:rPr>
      <w:i/>
      <w:iCs/>
      <w:color w:val="2F5496" w:themeColor="accent1" w:themeShade="BF"/>
    </w:rPr>
  </w:style>
  <w:style w:type="character" w:styleId="IntenseReference">
    <w:name w:val="Intense Reference"/>
    <w:basedOn w:val="DefaultParagraphFont"/>
    <w:uiPriority w:val="32"/>
    <w:qFormat/>
    <w:rsid w:val="005D27D3"/>
    <w:rPr>
      <w:b/>
      <w:bCs/>
      <w:smallCaps/>
      <w:color w:val="2F5496" w:themeColor="accent1" w:themeShade="BF"/>
      <w:spacing w:val="5"/>
    </w:rPr>
  </w:style>
  <w:style w:type="character" w:styleId="Hyperlink">
    <w:name w:val="Hyperlink"/>
    <w:basedOn w:val="DefaultParagraphFont"/>
    <w:uiPriority w:val="99"/>
    <w:unhideWhenUsed/>
    <w:rsid w:val="005D2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ucedd@uchc.ed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46SnvrLcrwh1IONUWmBZEivJw==">CgMxLjA4AHIhMVN4SHlUS1Y4S1VaMU04MzVGNVI4SmVxemRBSXpoTmZJ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3236</Words>
  <Characters>18447</Characters>
  <Application>Microsoft Office Word</Application>
  <DocSecurity>0</DocSecurity>
  <Lines>153</Lines>
  <Paragraphs>43</Paragraphs>
  <ScaleCrop>false</ScaleCrop>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McManus,Mischa</dc:creator>
  <cp:lastModifiedBy>Gundler,Darla</cp:lastModifiedBy>
  <cp:revision>6</cp:revision>
  <dcterms:created xsi:type="dcterms:W3CDTF">2024-09-12T20:49:00Z</dcterms:created>
  <dcterms:modified xsi:type="dcterms:W3CDTF">2024-10-28T00:12:00Z</dcterms:modified>
</cp:coreProperties>
</file>