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96E94" w14:textId="2159A652" w:rsidR="00777C7C" w:rsidRDefault="00777C7C" w:rsidP="00026B45">
      <w:pPr>
        <w:jc w:val="center"/>
        <w:rPr>
          <w:b/>
          <w:bCs/>
          <w:sz w:val="24"/>
          <w:szCs w:val="24"/>
        </w:rPr>
      </w:pPr>
      <w:r>
        <w:rPr>
          <w:b/>
          <w:bCs/>
          <w:noProof/>
          <w:sz w:val="24"/>
          <w:szCs w:val="24"/>
        </w:rPr>
        <w:drawing>
          <wp:inline distT="0" distB="0" distL="0" distR="0" wp14:anchorId="074E5C47" wp14:editId="27D87366">
            <wp:extent cx="2971800" cy="859536"/>
            <wp:effectExtent l="0" t="0" r="0" b="0"/>
            <wp:docPr id="1463275160" name="Picture 17"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75160" name="Picture 17" descr="A black and red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1800" cy="859536"/>
                    </a:xfrm>
                    <a:prstGeom prst="rect">
                      <a:avLst/>
                    </a:prstGeom>
                  </pic:spPr>
                </pic:pic>
              </a:graphicData>
            </a:graphic>
          </wp:inline>
        </w:drawing>
      </w:r>
    </w:p>
    <w:p w14:paraId="366448D7" w14:textId="77777777" w:rsidR="00777C7C" w:rsidRDefault="00777C7C" w:rsidP="00026B45">
      <w:pPr>
        <w:jc w:val="center"/>
        <w:rPr>
          <w:b/>
          <w:bCs/>
          <w:sz w:val="24"/>
          <w:szCs w:val="24"/>
        </w:rPr>
      </w:pPr>
    </w:p>
    <w:p w14:paraId="1548C11C" w14:textId="7AB8F58E" w:rsidR="001C3F45" w:rsidRDefault="001C3F45" w:rsidP="00E96A64">
      <w:pPr>
        <w:pStyle w:val="Heading1"/>
        <w:rPr>
          <w:b/>
          <w:bCs/>
          <w:color w:val="auto"/>
        </w:rPr>
      </w:pPr>
      <w:r w:rsidRPr="00777C7C">
        <w:rPr>
          <w:b/>
          <w:bCs/>
          <w:color w:val="auto"/>
        </w:rPr>
        <w:t>Identifiers</w:t>
      </w:r>
      <w:r w:rsidR="00E96A64">
        <w:rPr>
          <w:b/>
          <w:bCs/>
          <w:color w:val="auto"/>
        </w:rPr>
        <w:t xml:space="preserve"> in REDCap</w:t>
      </w:r>
    </w:p>
    <w:p w14:paraId="1D449EE1" w14:textId="77777777" w:rsidR="00E96A64" w:rsidRPr="00E96A64" w:rsidRDefault="00E96A64" w:rsidP="00E96A64"/>
    <w:p w14:paraId="010DD3A4" w14:textId="79DCB3F5" w:rsidR="001C3F45" w:rsidRPr="00310EBA" w:rsidRDefault="001C3F45" w:rsidP="001C3F45">
      <w:pPr>
        <w:rPr>
          <w:rFonts w:cstheme="minorHAnsi"/>
        </w:rPr>
      </w:pPr>
      <w:r w:rsidRPr="005C71D6">
        <w:rPr>
          <w:rFonts w:cstheme="minorHAnsi"/>
          <w:bCs/>
          <w:i/>
        </w:rPr>
        <w:t>Recommended reading before collecting Protected Health Information (PHI):</w:t>
      </w:r>
      <w:r w:rsidRPr="005C71D6">
        <w:rPr>
          <w:rFonts w:cstheme="minorHAnsi"/>
          <w:b/>
          <w:i/>
        </w:rPr>
        <w:t xml:space="preserve"> </w:t>
      </w:r>
      <w:hyperlink r:id="rId9">
        <w:r w:rsidR="009C49E7">
          <w:rPr>
            <w:rStyle w:val="Hyperlink"/>
            <w:rFonts w:cstheme="minorHAnsi"/>
            <w:i/>
            <w:color w:val="4472C4" w:themeColor="accent1"/>
          </w:rPr>
          <w:t>A beginner’s guide to avoiding Protected Health Information (PHI) issues in clinical research – With how-to’s in REDCap Data Management Software</w:t>
        </w:r>
      </w:hyperlink>
      <w:r w:rsidR="009C49E7">
        <w:rPr>
          <w:rFonts w:cstheme="minorHAnsi"/>
          <w:i/>
          <w:color w:val="4472C4" w:themeColor="accent1"/>
        </w:rPr>
        <w:t xml:space="preserve"> </w:t>
      </w:r>
    </w:p>
    <w:p w14:paraId="4D4042ED" w14:textId="717318E6" w:rsidR="001C3F45" w:rsidRPr="00310EBA" w:rsidRDefault="001C3F45" w:rsidP="001C3F45">
      <w:pPr>
        <w:rPr>
          <w:rFonts w:cstheme="minorHAnsi"/>
        </w:rPr>
      </w:pPr>
      <w:r w:rsidRPr="00310EBA">
        <w:rPr>
          <w:rFonts w:cstheme="minorHAnsi"/>
        </w:rPr>
        <w:t xml:space="preserve">Complying with HIPAA’s requirements is a shared responsibility. Users sharing and storing </w:t>
      </w:r>
      <w:r w:rsidR="004E3A5A">
        <w:rPr>
          <w:rFonts w:cstheme="minorHAnsi"/>
        </w:rPr>
        <w:t>PII/</w:t>
      </w:r>
      <w:r w:rsidRPr="00310EBA">
        <w:rPr>
          <w:rFonts w:cstheme="minorHAnsi"/>
        </w:rPr>
        <w:t>PHI in REDCap are responsible for complying with HIPAA safeguards, including:</w:t>
      </w:r>
    </w:p>
    <w:p w14:paraId="35545145" w14:textId="77777777" w:rsidR="001C3F45" w:rsidRPr="00310EBA" w:rsidRDefault="001C3F45" w:rsidP="001C3F45">
      <w:pPr>
        <w:widowControl w:val="0"/>
        <w:numPr>
          <w:ilvl w:val="0"/>
          <w:numId w:val="2"/>
        </w:numPr>
        <w:autoSpaceDE w:val="0"/>
        <w:autoSpaceDN w:val="0"/>
        <w:spacing w:after="0" w:line="240" w:lineRule="auto"/>
        <w:rPr>
          <w:rFonts w:cstheme="minorHAnsi"/>
        </w:rPr>
      </w:pPr>
      <w:r w:rsidRPr="00310EBA">
        <w:rPr>
          <w:rFonts w:cstheme="minorHAnsi"/>
        </w:rPr>
        <w:t>Using and disclosing only the minimum necessary PHI for the intended purpose</w:t>
      </w:r>
    </w:p>
    <w:p w14:paraId="7EBE8F5E" w14:textId="77777777" w:rsidR="001C3F45" w:rsidRPr="00310EBA" w:rsidRDefault="001C3F45" w:rsidP="001C3F45">
      <w:pPr>
        <w:widowControl w:val="0"/>
        <w:numPr>
          <w:ilvl w:val="0"/>
          <w:numId w:val="2"/>
        </w:numPr>
        <w:autoSpaceDE w:val="0"/>
        <w:autoSpaceDN w:val="0"/>
        <w:spacing w:after="0" w:line="240" w:lineRule="auto"/>
        <w:rPr>
          <w:rFonts w:cstheme="minorHAnsi"/>
        </w:rPr>
      </w:pPr>
      <w:r w:rsidRPr="00310EBA">
        <w:rPr>
          <w:rFonts w:cstheme="minorHAnsi"/>
        </w:rPr>
        <w:t>Ensuring that PHI is seen only by those who are authorized to see it</w:t>
      </w:r>
    </w:p>
    <w:p w14:paraId="6F8EF80A" w14:textId="77777777" w:rsidR="001C3F45" w:rsidRPr="00310EBA" w:rsidRDefault="001C3F45" w:rsidP="001C3F45">
      <w:pPr>
        <w:widowControl w:val="0"/>
        <w:numPr>
          <w:ilvl w:val="0"/>
          <w:numId w:val="2"/>
        </w:numPr>
        <w:autoSpaceDE w:val="0"/>
        <w:autoSpaceDN w:val="0"/>
        <w:spacing w:after="0" w:line="240" w:lineRule="auto"/>
        <w:rPr>
          <w:rFonts w:cstheme="minorHAnsi"/>
        </w:rPr>
      </w:pPr>
      <w:r w:rsidRPr="00310EBA">
        <w:rPr>
          <w:rFonts w:cstheme="minorHAnsi"/>
        </w:rPr>
        <w:t>Obtaining all necessary authorizations, data-sharing agreements, and Business Associate Agreements for using and disclosing PHI</w:t>
      </w:r>
    </w:p>
    <w:p w14:paraId="5ACE913D" w14:textId="110D224F" w:rsidR="001C3F45" w:rsidRPr="00310EBA" w:rsidRDefault="001C3F45" w:rsidP="001C3F45">
      <w:pPr>
        <w:widowControl w:val="0"/>
        <w:numPr>
          <w:ilvl w:val="0"/>
          <w:numId w:val="2"/>
        </w:numPr>
        <w:autoSpaceDE w:val="0"/>
        <w:autoSpaceDN w:val="0"/>
        <w:spacing w:after="0" w:line="240" w:lineRule="auto"/>
        <w:rPr>
          <w:rFonts w:cstheme="minorHAnsi"/>
        </w:rPr>
      </w:pPr>
      <w:r w:rsidRPr="00310EBA">
        <w:rPr>
          <w:rFonts w:cstheme="minorHAnsi"/>
        </w:rPr>
        <w:t>Following any additional steps required by your unit to comply with HIPAA, IRB</w:t>
      </w:r>
      <w:r>
        <w:rPr>
          <w:rFonts w:cstheme="minorHAnsi"/>
        </w:rPr>
        <w:t>,</w:t>
      </w:r>
      <w:r w:rsidRPr="00310EBA">
        <w:rPr>
          <w:rFonts w:cstheme="minorHAnsi"/>
        </w:rPr>
        <w:t xml:space="preserve"> and </w:t>
      </w:r>
      <w:r w:rsidR="00CD2E32">
        <w:rPr>
          <w:rFonts w:cstheme="minorHAnsi"/>
        </w:rPr>
        <w:t xml:space="preserve">institutional </w:t>
      </w:r>
      <w:r w:rsidRPr="00310EBA">
        <w:rPr>
          <w:rFonts w:cstheme="minorHAnsi"/>
        </w:rPr>
        <w:t>Policies and Procedures</w:t>
      </w:r>
    </w:p>
    <w:p w14:paraId="41A6C9DF" w14:textId="77777777" w:rsidR="001C3F45" w:rsidRDefault="001C3F45" w:rsidP="004E3A5A">
      <w:pPr>
        <w:spacing w:after="0"/>
        <w:rPr>
          <w:rFonts w:cstheme="minorHAnsi"/>
        </w:rPr>
      </w:pPr>
    </w:p>
    <w:p w14:paraId="1FFAF451" w14:textId="099D7DD0" w:rsidR="001C3F45" w:rsidRPr="001C3F45" w:rsidRDefault="001C3F45" w:rsidP="001C3F45">
      <w:r w:rsidRPr="001C3F45">
        <w:t>The following</w:t>
      </w:r>
      <w:r w:rsidR="00E96A64">
        <w:t xml:space="preserve"> are some</w:t>
      </w:r>
      <w:r w:rsidRPr="001C3F45">
        <w:t xml:space="preserve"> potential identifiers</w:t>
      </w:r>
      <w:r>
        <w:t xml:space="preserve"> allowed in UCH REDCap:</w:t>
      </w:r>
      <w:r w:rsidRPr="001C3F45">
        <w:t xml:space="preserve"> </w:t>
      </w:r>
    </w:p>
    <w:p w14:paraId="797B7C19" w14:textId="5FD90F31" w:rsidR="001C3F45" w:rsidRPr="001C3F45" w:rsidRDefault="001C3F45" w:rsidP="001C3F45">
      <w:pPr>
        <w:numPr>
          <w:ilvl w:val="0"/>
          <w:numId w:val="1"/>
        </w:numPr>
        <w:spacing w:after="0"/>
      </w:pPr>
      <w:r w:rsidRPr="001C3F45">
        <w:t>Dates (all elements of dates (except year) related to an individual. This includes dates of admission, discharge, birth, death</w:t>
      </w:r>
      <w:r w:rsidR="00CD2E32">
        <w:t>, etc.</w:t>
      </w:r>
    </w:p>
    <w:p w14:paraId="1154BF86" w14:textId="77777777" w:rsidR="001C3F45" w:rsidRPr="001C3F45" w:rsidRDefault="001C3F45" w:rsidP="001C3F45">
      <w:pPr>
        <w:numPr>
          <w:ilvl w:val="0"/>
          <w:numId w:val="1"/>
        </w:numPr>
        <w:spacing w:after="0"/>
      </w:pPr>
      <w:r w:rsidRPr="001C3F45">
        <w:t>Names (this includes parts of names, such as initials)</w:t>
      </w:r>
    </w:p>
    <w:p w14:paraId="7B4435A4" w14:textId="77777777" w:rsidR="001C3F45" w:rsidRPr="001C3F45" w:rsidRDefault="001C3F45" w:rsidP="001C3F45">
      <w:pPr>
        <w:numPr>
          <w:ilvl w:val="0"/>
          <w:numId w:val="1"/>
        </w:numPr>
        <w:spacing w:after="0"/>
      </w:pPr>
      <w:r w:rsidRPr="001C3F45">
        <w:t>Geographic subdivisions smaller than a state (including town, city, and zip code)</w:t>
      </w:r>
    </w:p>
    <w:p w14:paraId="02CADD1A" w14:textId="77777777" w:rsidR="001C3F45" w:rsidRPr="001C3F45" w:rsidRDefault="001C3F45" w:rsidP="001C3F45">
      <w:pPr>
        <w:numPr>
          <w:ilvl w:val="0"/>
          <w:numId w:val="1"/>
        </w:numPr>
        <w:spacing w:after="0"/>
      </w:pPr>
      <w:r w:rsidRPr="001C3F45">
        <w:t>Phone numbers</w:t>
      </w:r>
    </w:p>
    <w:p w14:paraId="3B90E020" w14:textId="77777777" w:rsidR="001C3F45" w:rsidRPr="001C3F45" w:rsidRDefault="001C3F45" w:rsidP="001C3F45">
      <w:pPr>
        <w:numPr>
          <w:ilvl w:val="0"/>
          <w:numId w:val="1"/>
        </w:numPr>
        <w:spacing w:after="0"/>
      </w:pPr>
      <w:r w:rsidRPr="001C3F45">
        <w:t>Fax numbers</w:t>
      </w:r>
    </w:p>
    <w:p w14:paraId="3FF2EF83" w14:textId="77777777" w:rsidR="001C3F45" w:rsidRPr="001C3F45" w:rsidRDefault="001C3F45" w:rsidP="001C3F45">
      <w:pPr>
        <w:numPr>
          <w:ilvl w:val="0"/>
          <w:numId w:val="1"/>
        </w:numPr>
        <w:spacing w:after="0"/>
      </w:pPr>
      <w:r w:rsidRPr="001C3F45">
        <w:t>Email addresses</w:t>
      </w:r>
    </w:p>
    <w:p w14:paraId="6F8D6F7D" w14:textId="77777777" w:rsidR="001C3F45" w:rsidRPr="00310EBA" w:rsidRDefault="001C3F45" w:rsidP="004E3A5A">
      <w:pPr>
        <w:spacing w:after="0"/>
        <w:rPr>
          <w:rFonts w:cstheme="minorHAnsi"/>
        </w:rPr>
      </w:pPr>
    </w:p>
    <w:p w14:paraId="369B3B64" w14:textId="14BD7623" w:rsidR="001C3F45" w:rsidRPr="00310EBA" w:rsidRDefault="001C3F45" w:rsidP="001C3F45">
      <w:pPr>
        <w:rPr>
          <w:rFonts w:cstheme="minorHAnsi"/>
        </w:rPr>
      </w:pPr>
      <w:r w:rsidRPr="001C3F45">
        <w:t>The following potential identifiers</w:t>
      </w:r>
      <w:r>
        <w:t xml:space="preserve"> are </w:t>
      </w:r>
      <w:r w:rsidR="0027627D">
        <w:t xml:space="preserve">considered restricted sensitive data and are </w:t>
      </w:r>
      <w:r w:rsidRPr="00310EBA">
        <w:rPr>
          <w:rFonts w:cstheme="minorHAnsi"/>
          <w:b/>
          <w:u w:val="single"/>
        </w:rPr>
        <w:t>NOT</w:t>
      </w:r>
      <w:r w:rsidRPr="00310EBA">
        <w:rPr>
          <w:rFonts w:cstheme="minorHAnsi"/>
          <w:b/>
        </w:rPr>
        <w:t xml:space="preserve"> </w:t>
      </w:r>
      <w:r>
        <w:rPr>
          <w:rFonts w:cstheme="minorHAnsi"/>
          <w:bCs/>
        </w:rPr>
        <w:t xml:space="preserve">allowed </w:t>
      </w:r>
      <w:r w:rsidR="0027627D">
        <w:rPr>
          <w:rFonts w:cstheme="minorHAnsi"/>
          <w:bCs/>
        </w:rPr>
        <w:t xml:space="preserve">to be </w:t>
      </w:r>
      <w:r w:rsidRPr="00310EBA">
        <w:rPr>
          <w:rFonts w:cstheme="minorHAnsi"/>
        </w:rPr>
        <w:t>use</w:t>
      </w:r>
      <w:r w:rsidR="0027627D">
        <w:rPr>
          <w:rFonts w:cstheme="minorHAnsi"/>
        </w:rPr>
        <w:t>d</w:t>
      </w:r>
      <w:r w:rsidRPr="00310EBA">
        <w:rPr>
          <w:rFonts w:cstheme="minorHAnsi"/>
        </w:rPr>
        <w:t xml:space="preserve"> or store</w:t>
      </w:r>
      <w:r w:rsidR="0027627D">
        <w:rPr>
          <w:rFonts w:cstheme="minorHAnsi"/>
        </w:rPr>
        <w:t>d</w:t>
      </w:r>
      <w:r w:rsidRPr="00310EBA">
        <w:rPr>
          <w:rFonts w:cstheme="minorHAnsi"/>
        </w:rPr>
        <w:t xml:space="preserve"> </w:t>
      </w:r>
      <w:r w:rsidR="0027627D">
        <w:rPr>
          <w:rFonts w:cstheme="minorHAnsi"/>
        </w:rPr>
        <w:t>in the UCH REDCap system</w:t>
      </w:r>
      <w:r w:rsidRPr="00310EBA">
        <w:rPr>
          <w:rFonts w:cstheme="minorHAnsi"/>
        </w:rPr>
        <w:t>:</w:t>
      </w:r>
    </w:p>
    <w:p w14:paraId="7C423AD3" w14:textId="77777777" w:rsidR="001C3F45" w:rsidRPr="00310EBA" w:rsidRDefault="001C3F45" w:rsidP="001C3F45">
      <w:pPr>
        <w:widowControl w:val="0"/>
        <w:numPr>
          <w:ilvl w:val="0"/>
          <w:numId w:val="3"/>
        </w:numPr>
        <w:autoSpaceDE w:val="0"/>
        <w:autoSpaceDN w:val="0"/>
        <w:spacing w:after="0" w:line="240" w:lineRule="auto"/>
        <w:rPr>
          <w:rFonts w:cstheme="minorHAnsi"/>
        </w:rPr>
      </w:pPr>
      <w:r w:rsidRPr="00310EBA">
        <w:rPr>
          <w:rFonts w:cstheme="minorHAnsi"/>
        </w:rPr>
        <w:t>Account numbers</w:t>
      </w:r>
    </w:p>
    <w:p w14:paraId="13D7A625" w14:textId="6C559F4E" w:rsidR="001C3F45" w:rsidRPr="001C3F45" w:rsidRDefault="001C3F45" w:rsidP="001C3F45">
      <w:pPr>
        <w:numPr>
          <w:ilvl w:val="0"/>
          <w:numId w:val="3"/>
        </w:numPr>
        <w:spacing w:after="0"/>
      </w:pPr>
      <w:r w:rsidRPr="001C3F45">
        <w:t>Social security numbers (includes parts of SSNs, e.g. last 4 digits, and scrambled SSNs)</w:t>
      </w:r>
      <w:r>
        <w:t>*</w:t>
      </w:r>
    </w:p>
    <w:p w14:paraId="530D85B9" w14:textId="77777777" w:rsidR="001C3F45" w:rsidRPr="00310EBA" w:rsidRDefault="001C3F45" w:rsidP="001C3F45">
      <w:pPr>
        <w:widowControl w:val="0"/>
        <w:numPr>
          <w:ilvl w:val="0"/>
          <w:numId w:val="3"/>
        </w:numPr>
        <w:autoSpaceDE w:val="0"/>
        <w:autoSpaceDN w:val="0"/>
        <w:spacing w:after="0" w:line="240" w:lineRule="auto"/>
        <w:rPr>
          <w:rFonts w:cstheme="minorHAnsi"/>
        </w:rPr>
      </w:pPr>
      <w:r w:rsidRPr="00310EBA">
        <w:rPr>
          <w:rFonts w:cstheme="minorHAnsi"/>
        </w:rPr>
        <w:t>Medical Record number</w:t>
      </w:r>
    </w:p>
    <w:p w14:paraId="48CFF175" w14:textId="77777777" w:rsidR="001C3F45" w:rsidRPr="00310EBA" w:rsidRDefault="001C3F45" w:rsidP="001C3F45">
      <w:pPr>
        <w:widowControl w:val="0"/>
        <w:numPr>
          <w:ilvl w:val="0"/>
          <w:numId w:val="3"/>
        </w:numPr>
        <w:autoSpaceDE w:val="0"/>
        <w:autoSpaceDN w:val="0"/>
        <w:spacing w:after="0" w:line="240" w:lineRule="auto"/>
        <w:rPr>
          <w:rFonts w:cstheme="minorHAnsi"/>
        </w:rPr>
      </w:pPr>
      <w:r w:rsidRPr="00310EBA">
        <w:rPr>
          <w:rFonts w:cstheme="minorHAnsi"/>
        </w:rPr>
        <w:t>Mother’s Maiden names</w:t>
      </w:r>
    </w:p>
    <w:p w14:paraId="6C6EFAE1" w14:textId="77777777" w:rsidR="001C3F45" w:rsidRPr="00310EBA" w:rsidRDefault="001C3F45" w:rsidP="001C3F45">
      <w:pPr>
        <w:widowControl w:val="0"/>
        <w:numPr>
          <w:ilvl w:val="0"/>
          <w:numId w:val="3"/>
        </w:numPr>
        <w:autoSpaceDE w:val="0"/>
        <w:autoSpaceDN w:val="0"/>
        <w:spacing w:after="0" w:line="240" w:lineRule="auto"/>
        <w:rPr>
          <w:rFonts w:cstheme="minorHAnsi"/>
        </w:rPr>
      </w:pPr>
      <w:r w:rsidRPr="00310EBA">
        <w:rPr>
          <w:rFonts w:cstheme="minorHAnsi"/>
        </w:rPr>
        <w:t>Health Plan number</w:t>
      </w:r>
    </w:p>
    <w:p w14:paraId="789B80B9" w14:textId="77777777" w:rsidR="001C3F45" w:rsidRPr="00310EBA" w:rsidRDefault="001C3F45" w:rsidP="001C3F45">
      <w:pPr>
        <w:widowControl w:val="0"/>
        <w:numPr>
          <w:ilvl w:val="0"/>
          <w:numId w:val="3"/>
        </w:numPr>
        <w:autoSpaceDE w:val="0"/>
        <w:autoSpaceDN w:val="0"/>
        <w:spacing w:after="0" w:line="240" w:lineRule="auto"/>
        <w:rPr>
          <w:rFonts w:cstheme="minorHAnsi"/>
        </w:rPr>
      </w:pPr>
      <w:r w:rsidRPr="00310EBA">
        <w:rPr>
          <w:rFonts w:cstheme="minorHAnsi"/>
        </w:rPr>
        <w:t>Certificate/license numbers</w:t>
      </w:r>
    </w:p>
    <w:p w14:paraId="00A62422" w14:textId="77777777" w:rsidR="001C3F45" w:rsidRPr="00310EBA" w:rsidRDefault="001C3F45" w:rsidP="001C3F45">
      <w:pPr>
        <w:widowControl w:val="0"/>
        <w:numPr>
          <w:ilvl w:val="0"/>
          <w:numId w:val="3"/>
        </w:numPr>
        <w:autoSpaceDE w:val="0"/>
        <w:autoSpaceDN w:val="0"/>
        <w:spacing w:after="0" w:line="240" w:lineRule="auto"/>
        <w:rPr>
          <w:rFonts w:cstheme="minorHAnsi"/>
        </w:rPr>
      </w:pPr>
      <w:r w:rsidRPr="00310EBA">
        <w:rPr>
          <w:rFonts w:cstheme="minorHAnsi"/>
        </w:rPr>
        <w:t>IP address</w:t>
      </w:r>
    </w:p>
    <w:p w14:paraId="00C4E7A0" w14:textId="77777777" w:rsidR="001C3F45" w:rsidRPr="00310EBA" w:rsidRDefault="001C3F45" w:rsidP="001C3F45">
      <w:pPr>
        <w:widowControl w:val="0"/>
        <w:numPr>
          <w:ilvl w:val="0"/>
          <w:numId w:val="3"/>
        </w:numPr>
        <w:autoSpaceDE w:val="0"/>
        <w:autoSpaceDN w:val="0"/>
        <w:spacing w:after="0" w:line="240" w:lineRule="auto"/>
        <w:rPr>
          <w:rFonts w:cstheme="minorHAnsi"/>
        </w:rPr>
      </w:pPr>
      <w:r w:rsidRPr="00310EBA">
        <w:rPr>
          <w:rFonts w:cstheme="minorHAnsi"/>
        </w:rPr>
        <w:t>Financial/PCI data</w:t>
      </w:r>
    </w:p>
    <w:p w14:paraId="1CF68C3E" w14:textId="77777777" w:rsidR="001C3F45" w:rsidRPr="00310EBA" w:rsidRDefault="001C3F45" w:rsidP="001C3F45">
      <w:pPr>
        <w:widowControl w:val="0"/>
        <w:numPr>
          <w:ilvl w:val="0"/>
          <w:numId w:val="3"/>
        </w:numPr>
        <w:autoSpaceDE w:val="0"/>
        <w:autoSpaceDN w:val="0"/>
        <w:spacing w:after="0" w:line="240" w:lineRule="auto"/>
        <w:rPr>
          <w:rFonts w:cstheme="minorHAnsi"/>
        </w:rPr>
      </w:pPr>
      <w:r w:rsidRPr="00310EBA">
        <w:rPr>
          <w:rFonts w:cstheme="minorHAnsi"/>
        </w:rPr>
        <w:t>Vehicle identifiers</w:t>
      </w:r>
    </w:p>
    <w:p w14:paraId="396EDE75" w14:textId="77777777" w:rsidR="001C3F45" w:rsidRPr="00310EBA" w:rsidRDefault="001C3F45" w:rsidP="001C3F45">
      <w:pPr>
        <w:widowControl w:val="0"/>
        <w:numPr>
          <w:ilvl w:val="0"/>
          <w:numId w:val="3"/>
        </w:numPr>
        <w:autoSpaceDE w:val="0"/>
        <w:autoSpaceDN w:val="0"/>
        <w:spacing w:after="0" w:line="240" w:lineRule="auto"/>
        <w:rPr>
          <w:rFonts w:cstheme="minorHAnsi"/>
        </w:rPr>
      </w:pPr>
      <w:r w:rsidRPr="00310EBA">
        <w:rPr>
          <w:rFonts w:cstheme="minorHAnsi"/>
        </w:rPr>
        <w:t>Biometric ID</w:t>
      </w:r>
    </w:p>
    <w:p w14:paraId="6D58F4F9" w14:textId="77777777" w:rsidR="001C3F45" w:rsidRPr="00310EBA" w:rsidRDefault="001C3F45" w:rsidP="001C3F45">
      <w:pPr>
        <w:widowControl w:val="0"/>
        <w:numPr>
          <w:ilvl w:val="0"/>
          <w:numId w:val="3"/>
        </w:numPr>
        <w:autoSpaceDE w:val="0"/>
        <w:autoSpaceDN w:val="0"/>
        <w:spacing w:after="0" w:line="240" w:lineRule="auto"/>
        <w:rPr>
          <w:rFonts w:cstheme="minorHAnsi"/>
        </w:rPr>
      </w:pPr>
      <w:r w:rsidRPr="00310EBA">
        <w:rPr>
          <w:rFonts w:cstheme="minorHAnsi"/>
        </w:rPr>
        <w:t>Full face/identifying photo</w:t>
      </w:r>
    </w:p>
    <w:p w14:paraId="08BADB1D" w14:textId="77777777" w:rsidR="001C3F45" w:rsidRPr="00310EBA" w:rsidRDefault="001C3F45" w:rsidP="001C3F45">
      <w:pPr>
        <w:widowControl w:val="0"/>
        <w:numPr>
          <w:ilvl w:val="0"/>
          <w:numId w:val="3"/>
        </w:numPr>
        <w:autoSpaceDE w:val="0"/>
        <w:autoSpaceDN w:val="0"/>
        <w:spacing w:after="0" w:line="240" w:lineRule="auto"/>
        <w:rPr>
          <w:rFonts w:cstheme="minorHAnsi"/>
          <w:i/>
        </w:rPr>
      </w:pPr>
      <w:r w:rsidRPr="00310EBA">
        <w:rPr>
          <w:rFonts w:cstheme="minorHAnsi"/>
        </w:rPr>
        <w:t xml:space="preserve">Audio &amp; Video Files </w:t>
      </w:r>
    </w:p>
    <w:p w14:paraId="03749552" w14:textId="77777777" w:rsidR="001C3F45" w:rsidRPr="00310EBA" w:rsidRDefault="001C3F45" w:rsidP="001C3F45">
      <w:pPr>
        <w:widowControl w:val="0"/>
        <w:numPr>
          <w:ilvl w:val="0"/>
          <w:numId w:val="3"/>
        </w:numPr>
        <w:autoSpaceDE w:val="0"/>
        <w:autoSpaceDN w:val="0"/>
        <w:spacing w:after="0" w:line="240" w:lineRule="auto"/>
        <w:rPr>
          <w:rFonts w:cstheme="minorHAnsi"/>
        </w:rPr>
      </w:pPr>
      <w:r w:rsidRPr="00310EBA">
        <w:rPr>
          <w:rFonts w:cstheme="minorHAnsi"/>
        </w:rPr>
        <w:t>HIPAA data not approved by the IRB protocol.</w:t>
      </w:r>
    </w:p>
    <w:p w14:paraId="5057B6AC" w14:textId="77777777" w:rsidR="0027627D" w:rsidRPr="0027627D" w:rsidRDefault="001C3F45" w:rsidP="00165C2E">
      <w:pPr>
        <w:widowControl w:val="0"/>
        <w:numPr>
          <w:ilvl w:val="0"/>
          <w:numId w:val="3"/>
        </w:numPr>
        <w:autoSpaceDE w:val="0"/>
        <w:autoSpaceDN w:val="0"/>
        <w:spacing w:after="0" w:line="240" w:lineRule="auto"/>
        <w:rPr>
          <w:rFonts w:cstheme="minorHAnsi"/>
          <w:u w:val="single"/>
        </w:rPr>
      </w:pPr>
      <w:r w:rsidRPr="0027627D">
        <w:rPr>
          <w:rFonts w:cstheme="minorHAnsi"/>
        </w:rPr>
        <w:t>Data related to International Traffic in Arms Regulations (ITAR). ITAR control the export and import of defense-related articles and services on the United States Munitions List (USML).</w:t>
      </w:r>
    </w:p>
    <w:p w14:paraId="6E987F0F" w14:textId="03DF676B" w:rsidR="00026B45" w:rsidRPr="00026B45" w:rsidRDefault="00026B45" w:rsidP="00026B45">
      <w:pPr>
        <w:pStyle w:val="NormalWeb"/>
        <w:rPr>
          <w:i/>
          <w:iCs/>
        </w:rPr>
      </w:pPr>
      <w:r w:rsidRPr="00026B45">
        <w:rPr>
          <w:i/>
          <w:iCs/>
        </w:rPr>
        <w:lastRenderedPageBreak/>
        <w:t xml:space="preserve">Please Note: Your study materials dictate what data can be collected and how that data will be stored; this information can be found in the protocol, consent forms, IRB application, HIPAA authorization/waiver, etc. If your IRB-approved data collection and storage plan indicates that identifiers will be kept separate from the data collected (i.e. will not be stored with study data) to ensure that data cannot be linked, then identifiers should not be collected/stored in the same project along with the data. It is the responsibility of the PI (as well as the study team) to ensure the collection and storage of identifiers, this includes signed consent documents, is consistent with the confidentiality plans described to the IRB in the application, protocol, consent, etc.  Changes to the data collected and how it is stored are to be approved by the IRB prior to implementation.  If the IRB determined the research was </w:t>
      </w:r>
      <w:r w:rsidRPr="00026B45">
        <w:rPr>
          <w:b/>
          <w:bCs/>
          <w:i/>
          <w:iCs/>
        </w:rPr>
        <w:t>Exempt</w:t>
      </w:r>
      <w:r w:rsidRPr="00026B45">
        <w:rPr>
          <w:i/>
          <w:iCs/>
        </w:rPr>
        <w:t>, the PI should consult the IRB before making changes to ensure those changes do not invalidate the exemption.</w:t>
      </w:r>
    </w:p>
    <w:p w14:paraId="70C1490F" w14:textId="77777777" w:rsidR="004565EC" w:rsidRPr="00026B45" w:rsidRDefault="004565EC" w:rsidP="004565EC">
      <w:pPr>
        <w:widowControl w:val="0"/>
        <w:autoSpaceDE w:val="0"/>
        <w:autoSpaceDN w:val="0"/>
        <w:spacing w:after="0" w:line="240" w:lineRule="auto"/>
        <w:rPr>
          <w:rFonts w:cstheme="minorHAnsi"/>
          <w:bCs/>
          <w:i/>
          <w:iCs/>
        </w:rPr>
      </w:pPr>
    </w:p>
    <w:p w14:paraId="47493AEF" w14:textId="3756BACB" w:rsidR="001C3F45" w:rsidRDefault="001C3F45" w:rsidP="00E96A64">
      <w:pPr>
        <w:pStyle w:val="Heading2"/>
        <w:rPr>
          <w:b/>
          <w:bCs/>
          <w:color w:val="auto"/>
        </w:rPr>
      </w:pPr>
      <w:r w:rsidRPr="00E96A64">
        <w:rPr>
          <w:b/>
          <w:bCs/>
          <w:color w:val="auto"/>
        </w:rPr>
        <w:t>What Fields Should Be Marked as Identifiers in REDCap?</w:t>
      </w:r>
    </w:p>
    <w:p w14:paraId="1617233A" w14:textId="77777777" w:rsidR="00E96A64" w:rsidRPr="00E96A64" w:rsidRDefault="00E96A64" w:rsidP="00E96A64"/>
    <w:p w14:paraId="5F66CB93" w14:textId="0EA74F07" w:rsidR="001C3F45" w:rsidRPr="001C3F45" w:rsidRDefault="001C3F45" w:rsidP="001C3F45">
      <w:pPr>
        <w:rPr>
          <w:i/>
          <w:iCs/>
        </w:rPr>
      </w:pPr>
      <w:r w:rsidRPr="001C3F45">
        <w:t>Each data field that </w:t>
      </w:r>
      <w:r w:rsidRPr="001C3F45">
        <w:rPr>
          <w:i/>
          <w:iCs/>
        </w:rPr>
        <w:t>could</w:t>
      </w:r>
      <w:r w:rsidRPr="001C3F45">
        <w:t xml:space="preserve"> be considered </w:t>
      </w:r>
      <w:r w:rsidR="001C519E">
        <w:t>an</w:t>
      </w:r>
      <w:r w:rsidRPr="001C3F45">
        <w:t xml:space="preserve"> identifier should be marked as an identifier in REDCap.</w:t>
      </w:r>
      <w:r w:rsidR="0027627D">
        <w:t xml:space="preserve"> </w:t>
      </w:r>
      <w:r w:rsidR="0027627D" w:rsidRPr="0027627D">
        <w:rPr>
          <w:i/>
          <w:iCs/>
        </w:rPr>
        <w:t>T</w:t>
      </w:r>
      <w:r w:rsidRPr="001C3F45">
        <w:rPr>
          <w:i/>
          <w:iCs/>
        </w:rPr>
        <w:t>his may differ from what is considered identifying or sensitive information for other aspects of your project (such as IRB approval.)</w:t>
      </w:r>
    </w:p>
    <w:p w14:paraId="3D254E01" w14:textId="11420952" w:rsidR="001C3F45" w:rsidRPr="001C3F45" w:rsidRDefault="0027627D" w:rsidP="0027627D">
      <w:r>
        <w:rPr>
          <w:b/>
          <w:bCs/>
          <w:i/>
          <w:iCs/>
        </w:rPr>
        <w:t xml:space="preserve">IMPORTANT: </w:t>
      </w:r>
      <w:r w:rsidRPr="0027627D">
        <w:rPr>
          <w:i/>
          <w:iCs/>
        </w:rPr>
        <w:t xml:space="preserve">Identifiers should </w:t>
      </w:r>
      <w:r w:rsidRPr="0027627D">
        <w:rPr>
          <w:i/>
          <w:iCs/>
          <w:u w:val="single"/>
        </w:rPr>
        <w:t>NOT</w:t>
      </w:r>
      <w:r w:rsidRPr="0027627D">
        <w:rPr>
          <w:i/>
          <w:iCs/>
        </w:rPr>
        <w:t xml:space="preserve"> be used as S</w:t>
      </w:r>
      <w:r w:rsidR="001C3F45" w:rsidRPr="001C3F45">
        <w:rPr>
          <w:i/>
          <w:iCs/>
        </w:rPr>
        <w:t>ubject ID or Record ID numbers</w:t>
      </w:r>
      <w:r w:rsidRPr="0027627D">
        <w:rPr>
          <w:i/>
          <w:iCs/>
        </w:rPr>
        <w:t>. And S</w:t>
      </w:r>
      <w:r w:rsidRPr="001C3F45">
        <w:rPr>
          <w:i/>
          <w:iCs/>
        </w:rPr>
        <w:t>ubject ID or Record ID numbers</w:t>
      </w:r>
      <w:r w:rsidR="001C3F45" w:rsidRPr="001C3F45">
        <w:rPr>
          <w:i/>
          <w:iCs/>
        </w:rPr>
        <w:t xml:space="preserve"> should not be checked as identifiers. These numbers might be the only way to distinguish a record for users that export data and/or don’t have access to identifiers (per </w:t>
      </w:r>
      <w:r w:rsidR="00095D06">
        <w:rPr>
          <w:i/>
          <w:iCs/>
        </w:rPr>
        <w:t>project-specific</w:t>
      </w:r>
      <w:r w:rsidR="001C3F45" w:rsidRPr="001C3F45">
        <w:rPr>
          <w:i/>
          <w:iCs/>
        </w:rPr>
        <w:t xml:space="preserve"> permissions)</w:t>
      </w:r>
    </w:p>
    <w:p w14:paraId="7DF1CC03" w14:textId="77777777" w:rsidR="0027627D" w:rsidRDefault="0027627D" w:rsidP="001C3F45">
      <w:pPr>
        <w:rPr>
          <w:b/>
          <w:bCs/>
        </w:rPr>
      </w:pPr>
    </w:p>
    <w:p w14:paraId="1A1E4C8B" w14:textId="447AD6D6" w:rsidR="001C3F45" w:rsidRDefault="001C3F45" w:rsidP="00E96A64">
      <w:pPr>
        <w:pStyle w:val="Heading2"/>
        <w:rPr>
          <w:b/>
          <w:bCs/>
          <w:color w:val="auto"/>
        </w:rPr>
      </w:pPr>
      <w:r w:rsidRPr="00E96A64">
        <w:rPr>
          <w:b/>
          <w:bCs/>
          <w:color w:val="auto"/>
        </w:rPr>
        <w:t>How to Mark a Field as an Identifier in REDCap</w:t>
      </w:r>
    </w:p>
    <w:p w14:paraId="4352EEC5" w14:textId="77777777" w:rsidR="00E96A64" w:rsidRDefault="00E96A64" w:rsidP="00E96A64"/>
    <w:p w14:paraId="02E7A8E1" w14:textId="0D91C3F9" w:rsidR="00E96A64" w:rsidRPr="00E96A64" w:rsidRDefault="00E96A64" w:rsidP="00E96A64">
      <w:pPr>
        <w:pStyle w:val="Heading3"/>
        <w:rPr>
          <w:b/>
          <w:bCs/>
          <w:i/>
          <w:iCs/>
          <w:color w:val="auto"/>
        </w:rPr>
      </w:pPr>
      <w:r w:rsidRPr="00E96A64">
        <w:rPr>
          <w:b/>
          <w:bCs/>
          <w:i/>
          <w:iCs/>
          <w:color w:val="auto"/>
        </w:rPr>
        <w:t>Using the Online Designer</w:t>
      </w:r>
    </w:p>
    <w:p w14:paraId="176B20E7" w14:textId="2791BBA7" w:rsidR="001C3F45" w:rsidRDefault="001C3F45" w:rsidP="001C3F45">
      <w:r w:rsidRPr="001C3F45">
        <w:t>If you are building an instrument using the Online Designer, you can mark a field as an identifier when you add it. Select that the field is an identifier on the left side of the "Add New Field" pop-up window when you are adding or editing a field.</w:t>
      </w:r>
      <w:r w:rsidRPr="001C3F45">
        <w:br/>
      </w:r>
    </w:p>
    <w:p w14:paraId="20643B38" w14:textId="05C9002B" w:rsidR="00137602" w:rsidRDefault="00137602" w:rsidP="00CD7C05">
      <w:pPr>
        <w:jc w:val="center"/>
      </w:pPr>
      <w:r w:rsidRPr="00137602">
        <w:rPr>
          <w:noProof/>
        </w:rPr>
        <w:drawing>
          <wp:inline distT="0" distB="0" distL="0" distR="0" wp14:anchorId="716F2D5C" wp14:editId="214264CE">
            <wp:extent cx="5943600" cy="3114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6572"/>
                    <a:stretch/>
                  </pic:blipFill>
                  <pic:spPr bwMode="auto">
                    <a:xfrm>
                      <a:off x="0" y="0"/>
                      <a:ext cx="5943600" cy="3114675"/>
                    </a:xfrm>
                    <a:prstGeom prst="rect">
                      <a:avLst/>
                    </a:prstGeom>
                    <a:noFill/>
                    <a:ln>
                      <a:noFill/>
                    </a:ln>
                    <a:extLst>
                      <a:ext uri="{53640926-AAD7-44D8-BBD7-CCE9431645EC}">
                        <a14:shadowObscured xmlns:a14="http://schemas.microsoft.com/office/drawing/2010/main"/>
                      </a:ext>
                    </a:extLst>
                  </pic:spPr>
                </pic:pic>
              </a:graphicData>
            </a:graphic>
          </wp:inline>
        </w:drawing>
      </w:r>
    </w:p>
    <w:p w14:paraId="32D1AB97" w14:textId="77777777" w:rsidR="00137602" w:rsidRDefault="00137602" w:rsidP="001C3F45"/>
    <w:p w14:paraId="7F028A1A" w14:textId="77777777" w:rsidR="00E96A64" w:rsidRPr="001C3F45" w:rsidRDefault="00E96A64" w:rsidP="001C3F45"/>
    <w:p w14:paraId="121DEF87" w14:textId="79F03D65" w:rsidR="00E96A64" w:rsidRPr="00E96A64" w:rsidRDefault="001C3F45" w:rsidP="00E96A64">
      <w:pPr>
        <w:pStyle w:val="Heading4"/>
        <w:rPr>
          <w:b/>
          <w:bCs/>
          <w:color w:val="auto"/>
        </w:rPr>
      </w:pPr>
      <w:r w:rsidRPr="00E96A64">
        <w:rPr>
          <w:b/>
          <w:bCs/>
          <w:color w:val="auto"/>
        </w:rPr>
        <w:t>Using the "Check for Identifiers" Tool</w:t>
      </w:r>
    </w:p>
    <w:p w14:paraId="3F916630" w14:textId="77777777" w:rsidR="00CD7C05" w:rsidRDefault="001C3F45" w:rsidP="00CD7C05">
      <w:r w:rsidRPr="001C3F45">
        <w:t>You can use this tool when your project is in development mode, or while it is in draft mode before you submit changes for approval. This tool automatically checks the names and descriptions of your data fields to look for common keywords that indicate an identifier.</w:t>
      </w:r>
      <w:r w:rsidR="00CD7C05">
        <w:t xml:space="preserve"> </w:t>
      </w:r>
    </w:p>
    <w:p w14:paraId="43BB2A05" w14:textId="77777777" w:rsidR="00CD7C05" w:rsidRDefault="001C3F45" w:rsidP="00CD7C05">
      <w:r w:rsidRPr="001C3F45">
        <w:t>To use this tool, make sure your project is in Development mode or draft mode (for projects that are already in</w:t>
      </w:r>
      <w:r w:rsidR="00CD7C05">
        <w:t xml:space="preserve"> </w:t>
      </w:r>
      <w:r w:rsidRPr="001C3F45">
        <w:t xml:space="preserve">Production.) Navigate to "Project Setup" and the "Design your data collection instruments" box. </w:t>
      </w:r>
      <w:r w:rsidR="00CD7C05">
        <w:t xml:space="preserve">There will be a small link </w:t>
      </w:r>
      <w:r w:rsidRPr="001C3F45">
        <w:t>under the buttons for Online Designer and Data Dictionary.</w:t>
      </w:r>
      <w:r w:rsidR="00CD7C05">
        <w:t xml:space="preserve"> </w:t>
      </w:r>
    </w:p>
    <w:p w14:paraId="57C4B204" w14:textId="0EE38B69" w:rsidR="00CD7C05" w:rsidRDefault="001C3F45" w:rsidP="00CD7C05">
      <w:r w:rsidRPr="001C3F45">
        <w:t xml:space="preserve">The Check for Identifiers tool will bring up a checklist of all the fields it has found that may contain identifiers. If the checkbox is already checked, the field has been marked as </w:t>
      </w:r>
      <w:r w:rsidR="001C519E">
        <w:t xml:space="preserve">an </w:t>
      </w:r>
      <w:r w:rsidRPr="001C3F45">
        <w:t xml:space="preserve">identifier. You can edit the identifier designation from this page by checking or </w:t>
      </w:r>
      <w:r w:rsidR="001C519E">
        <w:t>unchecking</w:t>
      </w:r>
      <w:r w:rsidRPr="001C3F45">
        <w:t xml:space="preserve"> the boxes. Make sure to save your changes with the "Update Identifiers" button at th</w:t>
      </w:r>
      <w:r w:rsidR="00137602">
        <w:t xml:space="preserve">e </w:t>
      </w:r>
      <w:r w:rsidRPr="001C3F45">
        <w:t>bottom of the page. </w:t>
      </w:r>
    </w:p>
    <w:p w14:paraId="6B6798C4" w14:textId="7D545161" w:rsidR="00CD7C05" w:rsidRDefault="00CD7C05" w:rsidP="00CD7C05">
      <w:pPr>
        <w:spacing w:after="0" w:line="240" w:lineRule="auto"/>
        <w:jc w:val="center"/>
      </w:pPr>
      <w:r w:rsidRPr="00CD7C05">
        <w:rPr>
          <w:noProof/>
        </w:rPr>
        <w:drawing>
          <wp:inline distT="0" distB="0" distL="0" distR="0" wp14:anchorId="2EF2EB1F" wp14:editId="6F3C74A8">
            <wp:extent cx="6134100" cy="2981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34100" cy="2981325"/>
                    </a:xfrm>
                    <a:prstGeom prst="rect">
                      <a:avLst/>
                    </a:prstGeom>
                    <a:noFill/>
                    <a:ln>
                      <a:noFill/>
                    </a:ln>
                  </pic:spPr>
                </pic:pic>
              </a:graphicData>
            </a:graphic>
          </wp:inline>
        </w:drawing>
      </w:r>
    </w:p>
    <w:p w14:paraId="5D02AADC" w14:textId="274D33B0" w:rsidR="001C3F45" w:rsidRPr="001C3F45" w:rsidRDefault="001C3F45" w:rsidP="00137602">
      <w:pPr>
        <w:spacing w:after="0" w:line="240" w:lineRule="auto"/>
      </w:pPr>
      <w:r w:rsidRPr="001C3F45">
        <w:rPr>
          <w:noProof/>
        </w:rPr>
        <mc:AlternateContent>
          <mc:Choice Requires="wps">
            <w:drawing>
              <wp:inline distT="0" distB="0" distL="0" distR="0" wp14:anchorId="11B22666" wp14:editId="743B3953">
                <wp:extent cx="304800" cy="304800"/>
                <wp:effectExtent l="0" t="0" r="0" b="0"/>
                <wp:docPr id="4" name="Rectangle 4" descr="Screenshot highlights Update Identifiers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6B941A" id="Rectangle 4" o:spid="_x0000_s1026" alt="Screenshot highlights Update Identifiers butt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973554A" w14:textId="10704BAC" w:rsidR="00E96A64" w:rsidRPr="00E96A64" w:rsidRDefault="001C3F45" w:rsidP="00E96A64">
      <w:pPr>
        <w:pStyle w:val="Heading4"/>
        <w:rPr>
          <w:b/>
          <w:bCs/>
          <w:color w:val="auto"/>
        </w:rPr>
      </w:pPr>
      <w:r w:rsidRPr="00E96A64">
        <w:rPr>
          <w:b/>
          <w:bCs/>
          <w:color w:val="auto"/>
        </w:rPr>
        <w:t xml:space="preserve">Using the </w:t>
      </w:r>
      <w:r w:rsidR="00E96A64">
        <w:rPr>
          <w:b/>
          <w:bCs/>
          <w:color w:val="auto"/>
        </w:rPr>
        <w:t>D</w:t>
      </w:r>
      <w:r w:rsidRPr="00E96A64">
        <w:rPr>
          <w:b/>
          <w:bCs/>
          <w:color w:val="auto"/>
        </w:rPr>
        <w:t xml:space="preserve">ata </w:t>
      </w:r>
      <w:r w:rsidR="00E96A64">
        <w:rPr>
          <w:b/>
          <w:bCs/>
          <w:color w:val="auto"/>
        </w:rPr>
        <w:t>Di</w:t>
      </w:r>
      <w:r w:rsidRPr="00E96A64">
        <w:rPr>
          <w:b/>
          <w:bCs/>
          <w:color w:val="auto"/>
        </w:rPr>
        <w:t>ctionary</w:t>
      </w:r>
    </w:p>
    <w:p w14:paraId="1E235DDB" w14:textId="6D9D259B" w:rsidR="001C3F45" w:rsidRDefault="001C3F45" w:rsidP="001C3F45">
      <w:r w:rsidRPr="001C3F45">
        <w:t>You can mark identifiers when setting up or editing your project using the data dictionary. Your project's data dictionary will have a column labeled 'Identifier.' Mark fields as identifiers by changing the value to "</w:t>
      </w:r>
      <w:r w:rsidR="00304843">
        <w:t>K</w:t>
      </w:r>
      <w:r w:rsidRPr="001C3F45">
        <w:t>" in this column.</w:t>
      </w:r>
      <w:r w:rsidRPr="001C3F45">
        <w:br/>
      </w:r>
    </w:p>
    <w:p w14:paraId="0326458E" w14:textId="1B9FBA92" w:rsidR="00304843" w:rsidRPr="001C3F45" w:rsidRDefault="00304843" w:rsidP="001C3F45">
      <w:r w:rsidRPr="00304843">
        <w:rPr>
          <w:noProof/>
        </w:rPr>
        <w:drawing>
          <wp:inline distT="0" distB="0" distL="0" distR="0" wp14:anchorId="421E67F3" wp14:editId="59C5332D">
            <wp:extent cx="6547104" cy="786384"/>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47104" cy="786384"/>
                    </a:xfrm>
                    <a:prstGeom prst="rect">
                      <a:avLst/>
                    </a:prstGeom>
                    <a:noFill/>
                    <a:ln>
                      <a:noFill/>
                    </a:ln>
                  </pic:spPr>
                </pic:pic>
              </a:graphicData>
            </a:graphic>
          </wp:inline>
        </w:drawing>
      </w:r>
    </w:p>
    <w:p w14:paraId="7C072608" w14:textId="77777777" w:rsidR="00304843" w:rsidRDefault="00304843" w:rsidP="001C3F45">
      <w:pPr>
        <w:rPr>
          <w:b/>
          <w:bCs/>
        </w:rPr>
      </w:pPr>
    </w:p>
    <w:p w14:paraId="0F7BC9A5" w14:textId="77777777" w:rsidR="00304843" w:rsidRDefault="00304843" w:rsidP="001C3F45">
      <w:pPr>
        <w:rPr>
          <w:b/>
          <w:bCs/>
        </w:rPr>
      </w:pPr>
    </w:p>
    <w:p w14:paraId="00303935" w14:textId="77777777" w:rsidR="00E96A64" w:rsidRDefault="00E96A64" w:rsidP="001C3F45">
      <w:pPr>
        <w:rPr>
          <w:b/>
          <w:bCs/>
        </w:rPr>
      </w:pPr>
    </w:p>
    <w:p w14:paraId="4DD4675C" w14:textId="394B0E99" w:rsidR="001C3F45" w:rsidRDefault="001C3F45" w:rsidP="00E96A64">
      <w:pPr>
        <w:pStyle w:val="Heading2"/>
        <w:rPr>
          <w:b/>
          <w:bCs/>
          <w:color w:val="auto"/>
        </w:rPr>
      </w:pPr>
      <w:r w:rsidRPr="00E96A64">
        <w:rPr>
          <w:b/>
          <w:bCs/>
          <w:color w:val="auto"/>
        </w:rPr>
        <w:t>What is the impact of marking fields as identifiers in REDCap?</w:t>
      </w:r>
    </w:p>
    <w:p w14:paraId="540F78E8" w14:textId="77777777" w:rsidR="00E96A64" w:rsidRPr="00E96A64" w:rsidRDefault="00E96A64" w:rsidP="00E96A64"/>
    <w:p w14:paraId="688E153A" w14:textId="70102B36" w:rsidR="001C3F45" w:rsidRPr="001C3F45" w:rsidRDefault="001C3F45" w:rsidP="001C3F45">
      <w:pPr>
        <w:rPr>
          <w:i/>
          <w:iCs/>
        </w:rPr>
      </w:pPr>
      <w:r w:rsidRPr="001C3F45">
        <w:rPr>
          <w:b/>
          <w:bCs/>
        </w:rPr>
        <w:t>Important! </w:t>
      </w:r>
      <w:r w:rsidRPr="001C3F45">
        <w:t>When a field is marked as an identifier in REDCap, this only restricts access when data is </w:t>
      </w:r>
      <w:r w:rsidRPr="001C3F45">
        <w:rPr>
          <w:i/>
          <w:iCs/>
        </w:rPr>
        <w:t>exported!</w:t>
      </w:r>
      <w:r>
        <w:br/>
      </w:r>
      <w:r w:rsidRPr="001C3F45">
        <w:br/>
        <w:t>Users who have "Read" or "View &amp; Edit" access to an instrument will still be able to see data entered into fields marked as an identifier. This is true even if their export privileges only allow them to export de-identified data. For most projects, simply marking a field as an identifier in REDCap should not have significant impacts on how users interact with data in your REDCap project.</w:t>
      </w:r>
      <w:r w:rsidRPr="001C3F45">
        <w:br/>
      </w:r>
    </w:p>
    <w:p w14:paraId="2DD145FC" w14:textId="77777777" w:rsidR="001C3F45" w:rsidRDefault="001C3F45" w:rsidP="00E96A64">
      <w:pPr>
        <w:pStyle w:val="Heading2"/>
        <w:rPr>
          <w:b/>
          <w:bCs/>
          <w:color w:val="auto"/>
        </w:rPr>
      </w:pPr>
      <w:r w:rsidRPr="00E96A64">
        <w:rPr>
          <w:b/>
          <w:bCs/>
          <w:color w:val="auto"/>
        </w:rPr>
        <w:t>How to restrict user access to identifiers in REDCap</w:t>
      </w:r>
    </w:p>
    <w:p w14:paraId="41949A47" w14:textId="77777777" w:rsidR="00E96A64" w:rsidRPr="00E96A64" w:rsidRDefault="00E96A64" w:rsidP="00E96A64"/>
    <w:p w14:paraId="5076AE4F" w14:textId="77777777" w:rsidR="001C3F45" w:rsidRPr="001C3F45" w:rsidRDefault="001C3F45" w:rsidP="001C3F45">
      <w:r w:rsidRPr="001C3F45">
        <w:t>If you would like to restrict users from viewing (and not just exporting) identifiers that have been entered into your REDCap project, then you will need to segregate identifier fields within one or more instruments that have their access restricted.</w:t>
      </w:r>
    </w:p>
    <w:p w14:paraId="099A4004" w14:textId="2729E9D7" w:rsidR="00E96A64" w:rsidRPr="00E96A64" w:rsidRDefault="00CD2E32" w:rsidP="00E96A64">
      <w:pPr>
        <w:pStyle w:val="Heading4"/>
        <w:rPr>
          <w:b/>
          <w:bCs/>
          <w:color w:val="auto"/>
        </w:rPr>
      </w:pPr>
      <w:r w:rsidRPr="00E96A64">
        <w:rPr>
          <w:b/>
          <w:bCs/>
          <w:color w:val="auto"/>
        </w:rPr>
        <w:t xml:space="preserve">User Rights </w:t>
      </w:r>
      <w:r w:rsidR="00E96A64">
        <w:rPr>
          <w:b/>
          <w:bCs/>
          <w:color w:val="auto"/>
        </w:rPr>
        <w:t>–</w:t>
      </w:r>
      <w:r w:rsidRPr="00E96A64">
        <w:rPr>
          <w:b/>
          <w:bCs/>
          <w:color w:val="auto"/>
        </w:rPr>
        <w:t xml:space="preserve"> RECOMMENDED</w:t>
      </w:r>
    </w:p>
    <w:p w14:paraId="76C14942" w14:textId="0731CAA2" w:rsidR="00CD2E32" w:rsidRPr="00CD2E32" w:rsidRDefault="00CD2E32" w:rsidP="00CD2E32">
      <w:r w:rsidRPr="00CD2E32">
        <w:t>The only way to restrict users from viewing (on forms &amp; reports) and exporting identifier data is to segregate identifier fields within one or more instruments.  Then using User Rights access, a user's access to those forms should be set to </w:t>
      </w:r>
      <w:hyperlink r:id="rId13" w:tgtFrame="_blank" w:history="1">
        <w:r w:rsidRPr="00CD2E32">
          <w:rPr>
            <w:rStyle w:val="Hyperlink"/>
          </w:rPr>
          <w:t>'No Access (Hidden)' data view</w:t>
        </w:r>
        <w:r w:rsidRPr="00CD2E32">
          <w:rPr>
            <w:rStyle w:val="Hyperlink"/>
          </w:rPr>
          <w:t>i</w:t>
        </w:r>
        <w:r w:rsidRPr="00CD2E32">
          <w:rPr>
            <w:rStyle w:val="Hyperlink"/>
          </w:rPr>
          <w:t>ng rights</w:t>
        </w:r>
      </w:hyperlink>
      <w:r w:rsidRPr="00CD2E32">
        <w:t> and either </w:t>
      </w:r>
      <w:hyperlink r:id="rId14" w:tgtFrame="_blank" w:history="1">
        <w:r w:rsidRPr="00CD2E32">
          <w:rPr>
            <w:rStyle w:val="Hyperlink"/>
          </w:rPr>
          <w:t>'No Access' or 'De-Identif</w:t>
        </w:r>
        <w:r w:rsidRPr="00CD2E32">
          <w:rPr>
            <w:rStyle w:val="Hyperlink"/>
          </w:rPr>
          <w:t>i</w:t>
        </w:r>
        <w:r w:rsidRPr="00CD2E32">
          <w:rPr>
            <w:rStyle w:val="Hyperlink"/>
          </w:rPr>
          <w:t>ed' data export rights</w:t>
        </w:r>
      </w:hyperlink>
      <w:r w:rsidRPr="00CD2E32">
        <w:t>.</w:t>
      </w:r>
    </w:p>
    <w:p w14:paraId="70245EB0" w14:textId="7EAD111D" w:rsidR="00CD2E32" w:rsidRPr="00CD2E32" w:rsidRDefault="00CD2E32" w:rsidP="00CD2E32">
      <w:pPr>
        <w:jc w:val="center"/>
        <w:rPr>
          <w:i/>
          <w:iCs/>
        </w:rPr>
      </w:pPr>
      <w:r w:rsidRPr="00CD2E32">
        <w:drawing>
          <wp:inline distT="0" distB="0" distL="0" distR="0" wp14:anchorId="661B757B" wp14:editId="0A2CEC2C">
            <wp:extent cx="6858000" cy="3096895"/>
            <wp:effectExtent l="0" t="0" r="0" b="8255"/>
            <wp:docPr id="1512642680" name="Picture 16" descr="no_access_identif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_access_identifie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3096895"/>
                    </a:xfrm>
                    <a:prstGeom prst="rect">
                      <a:avLst/>
                    </a:prstGeom>
                    <a:noFill/>
                    <a:ln>
                      <a:noFill/>
                    </a:ln>
                  </pic:spPr>
                </pic:pic>
              </a:graphicData>
            </a:graphic>
          </wp:inline>
        </w:drawing>
      </w:r>
      <w:r w:rsidRPr="00CD2E32">
        <w:rPr>
          <w:i/>
          <w:iCs/>
        </w:rPr>
        <w:t>No access to identifier fields on this form for viewing or exporting</w:t>
      </w:r>
    </w:p>
    <w:p w14:paraId="47C8D556" w14:textId="77777777" w:rsidR="00CD2E32" w:rsidRDefault="00CD2E32" w:rsidP="00CD2E32">
      <w:pPr>
        <w:rPr>
          <w:b/>
          <w:bCs/>
        </w:rPr>
      </w:pPr>
    </w:p>
    <w:p w14:paraId="3E516D90" w14:textId="052717CD" w:rsidR="00CD2E32" w:rsidRPr="00E96A64" w:rsidRDefault="00CD2E32" w:rsidP="00E96A64">
      <w:pPr>
        <w:pStyle w:val="Heading4"/>
        <w:rPr>
          <w:b/>
          <w:bCs/>
          <w:color w:val="auto"/>
        </w:rPr>
      </w:pPr>
      <w:r w:rsidRPr="00E96A64">
        <w:rPr>
          <w:b/>
          <w:bCs/>
          <w:color w:val="auto"/>
        </w:rPr>
        <w:t>Restricting Individual Fields (viewing on forms ONLY):</w:t>
      </w:r>
    </w:p>
    <w:p w14:paraId="54E50F3E" w14:textId="0AD7546E" w:rsidR="00CD2E32" w:rsidRPr="00CD2E32" w:rsidRDefault="00CD2E32" w:rsidP="00CD2E32">
      <w:r w:rsidRPr="00CD2E32">
        <w:t>To restrict view of individual fields within a data collection form you can use one of the two following methods which use </w:t>
      </w:r>
      <w:hyperlink r:id="rId16" w:history="1">
        <w:r w:rsidRPr="00CD2E32">
          <w:rPr>
            <w:rStyle w:val="Hyperlink"/>
          </w:rPr>
          <w:t>Smart Variables</w:t>
        </w:r>
      </w:hyperlink>
      <w:r w:rsidRPr="00CD2E32">
        <w:t>.</w:t>
      </w:r>
    </w:p>
    <w:p w14:paraId="7286A6DF" w14:textId="77777777" w:rsidR="00CD2E32" w:rsidRPr="00CD2E32" w:rsidRDefault="00CD2E32" w:rsidP="00CD2E32">
      <w:r w:rsidRPr="00CD2E32">
        <w:t>Restricting access to individual fields within a REDCap data collection instrument DOES NOT prevent access in any reports a user has access to or to export the data in those fields.  This includes, but is not limited to, viewing the full data set.</w:t>
      </w:r>
    </w:p>
    <w:p w14:paraId="32BCA1B0" w14:textId="77777777" w:rsidR="00CD2E32" w:rsidRPr="00CD2E32" w:rsidRDefault="00CD2E32" w:rsidP="00CD2E32">
      <w:pPr>
        <w:numPr>
          <w:ilvl w:val="0"/>
          <w:numId w:val="4"/>
        </w:numPr>
      </w:pPr>
      <w:r w:rsidRPr="00CD2E32">
        <w:rPr>
          <w:b/>
          <w:bCs/>
        </w:rPr>
        <w:t>Branching Logic</w:t>
      </w:r>
    </w:p>
    <w:p w14:paraId="0993AD57" w14:textId="77777777" w:rsidR="00CD2E32" w:rsidRPr="00CD2E32" w:rsidRDefault="00CD2E32" w:rsidP="00CD2E32">
      <w:pPr>
        <w:numPr>
          <w:ilvl w:val="1"/>
          <w:numId w:val="4"/>
        </w:numPr>
      </w:pPr>
      <w:r w:rsidRPr="00CD2E32">
        <w:t>Apply advanced branching logic to check for specific usernames or roles using Smart Variables</w:t>
      </w:r>
    </w:p>
    <w:p w14:paraId="016D9244" w14:textId="77777777" w:rsidR="00CD2E32" w:rsidRPr="00CD2E32" w:rsidRDefault="00CD2E32" w:rsidP="00CD2E32">
      <w:pPr>
        <w:numPr>
          <w:ilvl w:val="2"/>
          <w:numId w:val="4"/>
        </w:numPr>
      </w:pPr>
      <w:r w:rsidRPr="00CD2E32">
        <w:t>Example:  </w:t>
      </w:r>
      <w:r w:rsidRPr="00CD2E32">
        <w:rPr>
          <w:b/>
          <w:bCs/>
        </w:rPr>
        <w:t>[user-role-label]="Data Entry Coordinator" </w:t>
      </w:r>
      <w:r w:rsidRPr="00CD2E32">
        <w:t>or </w:t>
      </w:r>
      <w:r w:rsidRPr="00CD2E32">
        <w:rPr>
          <w:b/>
          <w:bCs/>
        </w:rPr>
        <w:t>[user-name] &lt;&gt; "bbadger4"</w:t>
      </w:r>
    </w:p>
    <w:p w14:paraId="6390DBE5" w14:textId="77777777" w:rsidR="00CD2E32" w:rsidRPr="00CD2E32" w:rsidRDefault="00CD2E32" w:rsidP="00CD2E32">
      <w:pPr>
        <w:numPr>
          <w:ilvl w:val="0"/>
          <w:numId w:val="4"/>
        </w:numPr>
      </w:pPr>
      <w:r w:rsidRPr="00CD2E32">
        <w:rPr>
          <w:b/>
          <w:bCs/>
        </w:rPr>
        <w:t>Action Tags</w:t>
      </w:r>
    </w:p>
    <w:p w14:paraId="4750CBF0" w14:textId="77777777" w:rsidR="00CD2E32" w:rsidRPr="00CD2E32" w:rsidRDefault="00CD2E32" w:rsidP="00CD2E32">
      <w:pPr>
        <w:numPr>
          <w:ilvl w:val="1"/>
          <w:numId w:val="4"/>
        </w:numPr>
      </w:pPr>
      <w:r w:rsidRPr="00CD2E32">
        <w:t>Apply Action Tags to check for specific usernames or roles using Smart Variables</w:t>
      </w:r>
    </w:p>
    <w:p w14:paraId="01ACA323" w14:textId="77777777" w:rsidR="00CD2E32" w:rsidRPr="00CD2E32" w:rsidRDefault="00CD2E32" w:rsidP="00CD2E32">
      <w:pPr>
        <w:numPr>
          <w:ilvl w:val="2"/>
          <w:numId w:val="4"/>
        </w:numPr>
      </w:pPr>
      <w:r w:rsidRPr="00CD2E32">
        <w:t>Example:  </w:t>
      </w:r>
      <w:r w:rsidRPr="00CD2E32">
        <w:rPr>
          <w:b/>
          <w:bCs/>
        </w:rPr>
        <w:t>@IF([user-role-label]="Data Entry Coordinator", @HIDDEN, '')</w:t>
      </w:r>
    </w:p>
    <w:p w14:paraId="56FB2D3C" w14:textId="77777777" w:rsidR="00CD2E32" w:rsidRPr="00CD2E32" w:rsidRDefault="00CD2E32" w:rsidP="00CD2E32">
      <w:pPr>
        <w:numPr>
          <w:ilvl w:val="2"/>
          <w:numId w:val="4"/>
        </w:numPr>
      </w:pPr>
      <w:r w:rsidRPr="00CD2E32">
        <w:t>Example: </w:t>
      </w:r>
      <w:r w:rsidRPr="00CD2E32">
        <w:rPr>
          <w:b/>
          <w:bCs/>
        </w:rPr>
        <w:t> @IF( [user-name] = "bbadger4", @HIDDEN, '')</w:t>
      </w:r>
    </w:p>
    <w:p w14:paraId="7098CEF0" w14:textId="77777777" w:rsidR="00777C7C" w:rsidRDefault="00777C7C" w:rsidP="00CD2E32">
      <w:pPr>
        <w:rPr>
          <w:b/>
          <w:bCs/>
        </w:rPr>
      </w:pPr>
    </w:p>
    <w:p w14:paraId="7D03477D" w14:textId="01CEAB93" w:rsidR="00CD2E32" w:rsidRDefault="00CD2E32" w:rsidP="00E96A64">
      <w:pPr>
        <w:pStyle w:val="Heading4"/>
        <w:rPr>
          <w:b/>
          <w:bCs/>
          <w:color w:val="auto"/>
        </w:rPr>
      </w:pPr>
      <w:r w:rsidRPr="00E96A64">
        <w:rPr>
          <w:b/>
          <w:bCs/>
          <w:color w:val="auto"/>
        </w:rPr>
        <w:t>Restrictions based on different permission settings</w:t>
      </w:r>
    </w:p>
    <w:p w14:paraId="16C17205" w14:textId="77777777" w:rsidR="00E96A64" w:rsidRPr="00E96A64" w:rsidRDefault="00E96A64" w:rsidP="00E96A64"/>
    <w:tbl>
      <w:tblPr>
        <w:tblW w:w="5000" w:type="pct"/>
        <w:shd w:val="clear" w:color="auto" w:fill="FFFFFF"/>
        <w:tblCellMar>
          <w:top w:w="180" w:type="dxa"/>
          <w:left w:w="180" w:type="dxa"/>
          <w:bottom w:w="180" w:type="dxa"/>
          <w:right w:w="180" w:type="dxa"/>
        </w:tblCellMar>
        <w:tblLook w:val="04A0" w:firstRow="1" w:lastRow="0" w:firstColumn="1" w:lastColumn="0" w:noHBand="0" w:noVBand="1"/>
      </w:tblPr>
      <w:tblGrid>
        <w:gridCol w:w="3255"/>
        <w:gridCol w:w="4251"/>
        <w:gridCol w:w="1583"/>
        <w:gridCol w:w="1711"/>
      </w:tblGrid>
      <w:tr w:rsidR="00CD2E32" w:rsidRPr="00CD2E32" w14:paraId="3631B4F4" w14:textId="77777777" w:rsidTr="00CD2E32">
        <w:trPr>
          <w:trHeight w:val="315"/>
        </w:trPr>
        <w:tc>
          <w:tcPr>
            <w:tcW w:w="5000" w:type="pct"/>
            <w:gridSpan w:val="4"/>
            <w:tcBorders>
              <w:top w:val="nil"/>
              <w:left w:val="nil"/>
              <w:bottom w:val="nil"/>
              <w:right w:val="nil"/>
            </w:tcBorders>
            <w:shd w:val="clear" w:color="auto" w:fill="9B0000"/>
            <w:tcMar>
              <w:top w:w="75" w:type="dxa"/>
              <w:left w:w="75" w:type="dxa"/>
              <w:bottom w:w="75" w:type="dxa"/>
              <w:right w:w="75" w:type="dxa"/>
            </w:tcMar>
            <w:vAlign w:val="center"/>
            <w:hideMark/>
          </w:tcPr>
          <w:p w14:paraId="01DA7E73" w14:textId="77777777" w:rsidR="00CD2E32" w:rsidRPr="00CD2E32" w:rsidRDefault="00CD2E32" w:rsidP="00CD2E32">
            <w:pPr>
              <w:rPr>
                <w:sz w:val="20"/>
                <w:szCs w:val="20"/>
              </w:rPr>
            </w:pPr>
            <w:r w:rsidRPr="00CD2E32">
              <w:rPr>
                <w:sz w:val="20"/>
                <w:szCs w:val="20"/>
              </w:rPr>
              <w:t>Ability to access to identifiers across the project based on permission set</w:t>
            </w:r>
          </w:p>
        </w:tc>
      </w:tr>
      <w:tr w:rsidR="00CD2E32" w:rsidRPr="00CD2E32" w14:paraId="1095A0CF" w14:textId="77777777" w:rsidTr="00CD2E32">
        <w:trPr>
          <w:trHeight w:val="315"/>
        </w:trPr>
        <w:tc>
          <w:tcPr>
            <w:tcW w:w="1507" w:type="pct"/>
            <w:tcBorders>
              <w:top w:val="single" w:sz="6" w:space="0" w:color="CCCCCC"/>
              <w:left w:val="single" w:sz="6" w:space="0" w:color="CCCCCC"/>
              <w:bottom w:val="single" w:sz="6" w:space="0" w:color="CCCCCC"/>
              <w:right w:val="single" w:sz="6" w:space="0" w:color="CCCCCC"/>
            </w:tcBorders>
            <w:shd w:val="clear" w:color="auto" w:fill="9B0000"/>
            <w:tcMar>
              <w:top w:w="75" w:type="dxa"/>
              <w:left w:w="75" w:type="dxa"/>
              <w:bottom w:w="75" w:type="dxa"/>
              <w:right w:w="75" w:type="dxa"/>
            </w:tcMar>
            <w:vAlign w:val="center"/>
            <w:hideMark/>
          </w:tcPr>
          <w:p w14:paraId="2BF7D0CE" w14:textId="77777777" w:rsidR="00CD2E32" w:rsidRPr="00CD2E32" w:rsidRDefault="00CD2E32" w:rsidP="00CD2E32">
            <w:pPr>
              <w:rPr>
                <w:sz w:val="20"/>
                <w:szCs w:val="20"/>
              </w:rPr>
            </w:pPr>
            <w:r w:rsidRPr="00CD2E32">
              <w:rPr>
                <w:b/>
                <w:bCs/>
                <w:sz w:val="20"/>
                <w:szCs w:val="20"/>
              </w:rPr>
              <w:t>Permission Set</w:t>
            </w:r>
          </w:p>
        </w:tc>
        <w:tc>
          <w:tcPr>
            <w:tcW w:w="1968" w:type="pct"/>
            <w:tcBorders>
              <w:top w:val="single" w:sz="6" w:space="0" w:color="CCCCCC"/>
              <w:left w:val="single" w:sz="6" w:space="0" w:color="CCCCCC"/>
              <w:bottom w:val="single" w:sz="6" w:space="0" w:color="CCCCCC"/>
              <w:right w:val="single" w:sz="6" w:space="0" w:color="CCCCCC"/>
            </w:tcBorders>
            <w:shd w:val="clear" w:color="auto" w:fill="9B0000"/>
            <w:tcMar>
              <w:top w:w="75" w:type="dxa"/>
              <w:left w:w="75" w:type="dxa"/>
              <w:bottom w:w="75" w:type="dxa"/>
              <w:right w:w="75" w:type="dxa"/>
            </w:tcMar>
            <w:vAlign w:val="center"/>
            <w:hideMark/>
          </w:tcPr>
          <w:p w14:paraId="5D124959" w14:textId="77777777" w:rsidR="00CD2E32" w:rsidRPr="00CD2E32" w:rsidRDefault="00CD2E32" w:rsidP="00CD2E32">
            <w:pPr>
              <w:rPr>
                <w:sz w:val="20"/>
                <w:szCs w:val="20"/>
              </w:rPr>
            </w:pPr>
            <w:r w:rsidRPr="00CD2E32">
              <w:rPr>
                <w:b/>
                <w:bCs/>
                <w:sz w:val="20"/>
                <w:szCs w:val="20"/>
              </w:rPr>
              <w:t>Access Instrument Fields During Data Entry</w:t>
            </w:r>
          </w:p>
        </w:tc>
        <w:tc>
          <w:tcPr>
            <w:tcW w:w="733" w:type="pct"/>
            <w:tcBorders>
              <w:top w:val="single" w:sz="6" w:space="0" w:color="CCCCCC"/>
              <w:left w:val="single" w:sz="6" w:space="0" w:color="CCCCCC"/>
              <w:bottom w:val="single" w:sz="6" w:space="0" w:color="CCCCCC"/>
              <w:right w:val="single" w:sz="6" w:space="0" w:color="CCCCCC"/>
            </w:tcBorders>
            <w:shd w:val="clear" w:color="auto" w:fill="9B0000"/>
            <w:tcMar>
              <w:top w:w="75" w:type="dxa"/>
              <w:left w:w="75" w:type="dxa"/>
              <w:bottom w:w="75" w:type="dxa"/>
              <w:right w:w="75" w:type="dxa"/>
            </w:tcMar>
            <w:vAlign w:val="center"/>
            <w:hideMark/>
          </w:tcPr>
          <w:p w14:paraId="2194C55C" w14:textId="77777777" w:rsidR="00CD2E32" w:rsidRPr="00CD2E32" w:rsidRDefault="00CD2E32" w:rsidP="00CD2E32">
            <w:pPr>
              <w:rPr>
                <w:sz w:val="20"/>
                <w:szCs w:val="20"/>
              </w:rPr>
            </w:pPr>
            <w:r w:rsidRPr="00CD2E32">
              <w:rPr>
                <w:b/>
                <w:bCs/>
                <w:sz w:val="20"/>
                <w:szCs w:val="20"/>
              </w:rPr>
              <w:t>Access Reports</w:t>
            </w:r>
          </w:p>
        </w:tc>
        <w:tc>
          <w:tcPr>
            <w:tcW w:w="792" w:type="pct"/>
            <w:tcBorders>
              <w:top w:val="single" w:sz="6" w:space="0" w:color="CCCCCC"/>
              <w:left w:val="single" w:sz="6" w:space="0" w:color="CCCCCC"/>
              <w:bottom w:val="single" w:sz="6" w:space="0" w:color="CCCCCC"/>
              <w:right w:val="single" w:sz="6" w:space="0" w:color="CCCCCC"/>
            </w:tcBorders>
            <w:shd w:val="clear" w:color="auto" w:fill="9B0000"/>
            <w:tcMar>
              <w:top w:w="75" w:type="dxa"/>
              <w:left w:w="75" w:type="dxa"/>
              <w:bottom w:w="75" w:type="dxa"/>
              <w:right w:w="75" w:type="dxa"/>
            </w:tcMar>
            <w:vAlign w:val="center"/>
            <w:hideMark/>
          </w:tcPr>
          <w:p w14:paraId="63640EB8" w14:textId="77777777" w:rsidR="00CD2E32" w:rsidRPr="00CD2E32" w:rsidRDefault="00CD2E32" w:rsidP="00CD2E32">
            <w:pPr>
              <w:rPr>
                <w:sz w:val="20"/>
                <w:szCs w:val="20"/>
              </w:rPr>
            </w:pPr>
            <w:r w:rsidRPr="00CD2E32">
              <w:rPr>
                <w:b/>
                <w:bCs/>
                <w:sz w:val="20"/>
                <w:szCs w:val="20"/>
              </w:rPr>
              <w:t>Allowed Exports</w:t>
            </w:r>
          </w:p>
        </w:tc>
      </w:tr>
      <w:tr w:rsidR="00CD2E32" w:rsidRPr="00CD2E32" w14:paraId="76458567" w14:textId="77777777" w:rsidTr="00CD2E32">
        <w:trPr>
          <w:trHeight w:val="855"/>
        </w:trPr>
        <w:tc>
          <w:tcPr>
            <w:tcW w:w="1507" w:type="pct"/>
            <w:tcBorders>
              <w:top w:val="single" w:sz="6" w:space="0" w:color="CCCCCC"/>
              <w:left w:val="single" w:sz="6" w:space="0" w:color="CCCCCC"/>
              <w:bottom w:val="single" w:sz="6" w:space="0" w:color="CCCCCC"/>
              <w:right w:val="single" w:sz="6" w:space="0" w:color="CCCCCC"/>
            </w:tcBorders>
            <w:shd w:val="clear" w:color="auto" w:fill="F7F7F7"/>
            <w:tcMar>
              <w:top w:w="75" w:type="dxa"/>
              <w:left w:w="75" w:type="dxa"/>
              <w:bottom w:w="75" w:type="dxa"/>
              <w:right w:w="75" w:type="dxa"/>
            </w:tcMar>
            <w:vAlign w:val="center"/>
            <w:hideMark/>
          </w:tcPr>
          <w:p w14:paraId="5746D142" w14:textId="77777777" w:rsidR="00CD2E32" w:rsidRPr="00CD2E32" w:rsidRDefault="00CD2E32" w:rsidP="00CD2E32">
            <w:pPr>
              <w:rPr>
                <w:sz w:val="20"/>
                <w:szCs w:val="20"/>
              </w:rPr>
            </w:pPr>
            <w:r w:rsidRPr="00CD2E32">
              <w:rPr>
                <w:sz w:val="20"/>
                <w:szCs w:val="20"/>
              </w:rPr>
              <w:t>Instrument Viewing - No Access</w:t>
            </w:r>
          </w:p>
        </w:tc>
        <w:tc>
          <w:tcPr>
            <w:tcW w:w="1968" w:type="pct"/>
            <w:tcBorders>
              <w:top w:val="single" w:sz="6" w:space="0" w:color="CCCCCC"/>
              <w:left w:val="single" w:sz="6" w:space="0" w:color="CCCCCC"/>
              <w:bottom w:val="single" w:sz="6" w:space="0" w:color="CCCCCC"/>
              <w:right w:val="single" w:sz="6" w:space="0" w:color="CCCCCC"/>
            </w:tcBorders>
            <w:shd w:val="clear" w:color="auto" w:fill="F7F7F7"/>
            <w:tcMar>
              <w:top w:w="75" w:type="dxa"/>
              <w:left w:w="75" w:type="dxa"/>
              <w:bottom w:w="75" w:type="dxa"/>
              <w:right w:w="75" w:type="dxa"/>
            </w:tcMar>
            <w:vAlign w:val="center"/>
            <w:hideMark/>
          </w:tcPr>
          <w:p w14:paraId="52D6A352" w14:textId="19376927" w:rsidR="00CD2E32" w:rsidRPr="00CD2E32" w:rsidRDefault="00CD2E32" w:rsidP="00CD2E32">
            <w:pPr>
              <w:rPr>
                <w:sz w:val="20"/>
                <w:szCs w:val="20"/>
              </w:rPr>
            </w:pPr>
            <w:r w:rsidRPr="00E96A64">
              <w:rPr>
                <w:sz w:val="20"/>
                <w:szCs w:val="20"/>
              </w:rPr>
              <w:drawing>
                <wp:inline distT="0" distB="0" distL="0" distR="0" wp14:anchorId="4676D7E9" wp14:editId="327B94AC">
                  <wp:extent cx="476250" cy="476250"/>
                  <wp:effectExtent l="0" t="0" r="0" b="0"/>
                  <wp:docPr id="565668263" name="Picture 15"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733" w:type="pct"/>
            <w:tcBorders>
              <w:top w:val="single" w:sz="6" w:space="0" w:color="CCCCCC"/>
              <w:left w:val="single" w:sz="6" w:space="0" w:color="CCCCCC"/>
              <w:bottom w:val="single" w:sz="6" w:space="0" w:color="CCCCCC"/>
              <w:right w:val="single" w:sz="6" w:space="0" w:color="CCCCCC"/>
            </w:tcBorders>
            <w:shd w:val="clear" w:color="auto" w:fill="F7F7F7"/>
            <w:tcMar>
              <w:top w:w="75" w:type="dxa"/>
              <w:left w:w="75" w:type="dxa"/>
              <w:bottom w:w="75" w:type="dxa"/>
              <w:right w:w="75" w:type="dxa"/>
            </w:tcMar>
            <w:vAlign w:val="center"/>
            <w:hideMark/>
          </w:tcPr>
          <w:p w14:paraId="0F447289" w14:textId="26EE43D3" w:rsidR="00CD2E32" w:rsidRPr="00CD2E32" w:rsidRDefault="00CD2E32" w:rsidP="00CD2E32">
            <w:pPr>
              <w:rPr>
                <w:sz w:val="20"/>
                <w:szCs w:val="20"/>
              </w:rPr>
            </w:pPr>
            <w:r w:rsidRPr="00E96A64">
              <w:rPr>
                <w:sz w:val="20"/>
                <w:szCs w:val="20"/>
              </w:rPr>
              <w:drawing>
                <wp:inline distT="0" distB="0" distL="0" distR="0" wp14:anchorId="5845D285" wp14:editId="0EE2EBC5">
                  <wp:extent cx="476250" cy="476250"/>
                  <wp:effectExtent l="0" t="0" r="0" b="0"/>
                  <wp:docPr id="16350781" name="Picture 14"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792" w:type="pct"/>
            <w:tcBorders>
              <w:top w:val="single" w:sz="6" w:space="0" w:color="CCCCCC"/>
              <w:left w:val="single" w:sz="6" w:space="0" w:color="CCCCCC"/>
              <w:bottom w:val="single" w:sz="6" w:space="0" w:color="CCCCCC"/>
              <w:right w:val="single" w:sz="6" w:space="0" w:color="CCCCCC"/>
            </w:tcBorders>
            <w:shd w:val="clear" w:color="auto" w:fill="F7F7F7"/>
            <w:tcMar>
              <w:top w:w="75" w:type="dxa"/>
              <w:left w:w="75" w:type="dxa"/>
              <w:bottom w:w="75" w:type="dxa"/>
              <w:right w:w="75" w:type="dxa"/>
            </w:tcMar>
            <w:vAlign w:val="center"/>
            <w:hideMark/>
          </w:tcPr>
          <w:p w14:paraId="4FEA9AE8" w14:textId="529AFD7E" w:rsidR="00CD2E32" w:rsidRPr="00CD2E32" w:rsidRDefault="00CD2E32" w:rsidP="00CD2E32">
            <w:pPr>
              <w:rPr>
                <w:sz w:val="20"/>
                <w:szCs w:val="20"/>
              </w:rPr>
            </w:pPr>
            <w:r w:rsidRPr="00E96A64">
              <w:rPr>
                <w:sz w:val="20"/>
                <w:szCs w:val="20"/>
              </w:rPr>
              <w:drawing>
                <wp:inline distT="0" distB="0" distL="0" distR="0" wp14:anchorId="09AA2019" wp14:editId="0C21FC91">
                  <wp:extent cx="476250" cy="476250"/>
                  <wp:effectExtent l="0" t="0" r="0" b="0"/>
                  <wp:docPr id="1310660247" name="Picture 13"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CD2E32" w:rsidRPr="00CD2E32" w14:paraId="57D81649" w14:textId="77777777" w:rsidTr="00CD2E32">
        <w:trPr>
          <w:trHeight w:val="855"/>
        </w:trPr>
        <w:tc>
          <w:tcPr>
            <w:tcW w:w="1507"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41BB96D" w14:textId="77777777" w:rsidR="00CD2E32" w:rsidRPr="00CD2E32" w:rsidRDefault="00CD2E32" w:rsidP="00CD2E32">
            <w:pPr>
              <w:rPr>
                <w:sz w:val="20"/>
                <w:szCs w:val="20"/>
              </w:rPr>
            </w:pPr>
            <w:r w:rsidRPr="00CD2E32">
              <w:rPr>
                <w:sz w:val="20"/>
                <w:szCs w:val="20"/>
              </w:rPr>
              <w:t>Instrument Export - No Access</w:t>
            </w:r>
          </w:p>
        </w:tc>
        <w:tc>
          <w:tcPr>
            <w:tcW w:w="1968"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6A571ED" w14:textId="45CF42D0" w:rsidR="00CD2E32" w:rsidRPr="00CD2E32" w:rsidRDefault="00CD2E32" w:rsidP="00CD2E32">
            <w:pPr>
              <w:rPr>
                <w:sz w:val="20"/>
                <w:szCs w:val="20"/>
              </w:rPr>
            </w:pPr>
            <w:r w:rsidRPr="00E96A64">
              <w:rPr>
                <w:sz w:val="20"/>
                <w:szCs w:val="20"/>
              </w:rPr>
              <w:drawing>
                <wp:inline distT="0" distB="0" distL="0" distR="0" wp14:anchorId="5E9E0226" wp14:editId="1133D293">
                  <wp:extent cx="476250" cy="476250"/>
                  <wp:effectExtent l="0" t="0" r="0" b="0"/>
                  <wp:docPr id="1573033103" name="Picture 1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733"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4105714" w14:textId="2874DD69" w:rsidR="00CD2E32" w:rsidRPr="00CD2E32" w:rsidRDefault="00CD2E32" w:rsidP="00CD2E32">
            <w:pPr>
              <w:rPr>
                <w:sz w:val="20"/>
                <w:szCs w:val="20"/>
              </w:rPr>
            </w:pPr>
            <w:r w:rsidRPr="00E96A64">
              <w:rPr>
                <w:sz w:val="20"/>
                <w:szCs w:val="20"/>
              </w:rPr>
              <w:drawing>
                <wp:inline distT="0" distB="0" distL="0" distR="0" wp14:anchorId="6EC545F1" wp14:editId="2F0C9819">
                  <wp:extent cx="476250" cy="476250"/>
                  <wp:effectExtent l="0" t="0" r="0" b="0"/>
                  <wp:docPr id="1435938360" name="Picture 1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79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1E98D21" w14:textId="518761BE" w:rsidR="00CD2E32" w:rsidRPr="00CD2E32" w:rsidRDefault="00CD2E32" w:rsidP="00CD2E32">
            <w:pPr>
              <w:rPr>
                <w:sz w:val="20"/>
                <w:szCs w:val="20"/>
              </w:rPr>
            </w:pPr>
            <w:r w:rsidRPr="00E96A64">
              <w:rPr>
                <w:sz w:val="20"/>
                <w:szCs w:val="20"/>
              </w:rPr>
              <w:drawing>
                <wp:inline distT="0" distB="0" distL="0" distR="0" wp14:anchorId="21191C19" wp14:editId="07785975">
                  <wp:extent cx="476250" cy="476250"/>
                  <wp:effectExtent l="0" t="0" r="0" b="0"/>
                  <wp:docPr id="1752808335" name="Picture 10"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CD2E32" w:rsidRPr="00CD2E32" w14:paraId="550F0278" w14:textId="77777777" w:rsidTr="00CD2E32">
        <w:trPr>
          <w:trHeight w:val="1605"/>
        </w:trPr>
        <w:tc>
          <w:tcPr>
            <w:tcW w:w="1507" w:type="pct"/>
            <w:tcBorders>
              <w:top w:val="single" w:sz="6" w:space="0" w:color="CCCCCC"/>
              <w:left w:val="single" w:sz="6" w:space="0" w:color="CCCCCC"/>
              <w:bottom w:val="single" w:sz="6" w:space="0" w:color="CCCCCC"/>
              <w:right w:val="single" w:sz="6" w:space="0" w:color="CCCCCC"/>
            </w:tcBorders>
            <w:shd w:val="clear" w:color="auto" w:fill="F7F7F7"/>
            <w:tcMar>
              <w:top w:w="75" w:type="dxa"/>
              <w:left w:w="75" w:type="dxa"/>
              <w:bottom w:w="75" w:type="dxa"/>
              <w:right w:w="75" w:type="dxa"/>
            </w:tcMar>
            <w:vAlign w:val="center"/>
            <w:hideMark/>
          </w:tcPr>
          <w:p w14:paraId="17DBCC8F" w14:textId="77777777" w:rsidR="00CD2E32" w:rsidRPr="00CD2E32" w:rsidRDefault="00CD2E32" w:rsidP="00CD2E32">
            <w:pPr>
              <w:rPr>
                <w:sz w:val="20"/>
                <w:szCs w:val="20"/>
              </w:rPr>
            </w:pPr>
            <w:r w:rsidRPr="00CD2E32">
              <w:rPr>
                <w:sz w:val="20"/>
                <w:szCs w:val="20"/>
              </w:rPr>
              <w:t>Instrument Export - De-Identified</w:t>
            </w:r>
          </w:p>
        </w:tc>
        <w:tc>
          <w:tcPr>
            <w:tcW w:w="1968" w:type="pct"/>
            <w:tcBorders>
              <w:top w:val="single" w:sz="6" w:space="0" w:color="CCCCCC"/>
              <w:left w:val="single" w:sz="6" w:space="0" w:color="CCCCCC"/>
              <w:bottom w:val="single" w:sz="6" w:space="0" w:color="CCCCCC"/>
              <w:right w:val="single" w:sz="6" w:space="0" w:color="CCCCCC"/>
            </w:tcBorders>
            <w:shd w:val="clear" w:color="auto" w:fill="F7F7F7"/>
            <w:tcMar>
              <w:top w:w="75" w:type="dxa"/>
              <w:left w:w="75" w:type="dxa"/>
              <w:bottom w:w="75" w:type="dxa"/>
              <w:right w:w="75" w:type="dxa"/>
            </w:tcMar>
            <w:vAlign w:val="center"/>
            <w:hideMark/>
          </w:tcPr>
          <w:p w14:paraId="66433BD9" w14:textId="0AF387B5" w:rsidR="00CD2E32" w:rsidRPr="00CD2E32" w:rsidRDefault="00CD2E32" w:rsidP="00CD2E32">
            <w:pPr>
              <w:rPr>
                <w:sz w:val="20"/>
                <w:szCs w:val="20"/>
              </w:rPr>
            </w:pPr>
            <w:r w:rsidRPr="00E96A64">
              <w:rPr>
                <w:sz w:val="20"/>
                <w:szCs w:val="20"/>
              </w:rPr>
              <w:drawing>
                <wp:inline distT="0" distB="0" distL="0" distR="0" wp14:anchorId="5B57B423" wp14:editId="2574A8B1">
                  <wp:extent cx="476250" cy="476250"/>
                  <wp:effectExtent l="0" t="0" r="0" b="0"/>
                  <wp:docPr id="803058972" name="Picture 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733" w:type="pct"/>
            <w:tcBorders>
              <w:top w:val="single" w:sz="6" w:space="0" w:color="CCCCCC"/>
              <w:left w:val="single" w:sz="6" w:space="0" w:color="CCCCCC"/>
              <w:bottom w:val="single" w:sz="6" w:space="0" w:color="CCCCCC"/>
              <w:right w:val="single" w:sz="6" w:space="0" w:color="CCCCCC"/>
            </w:tcBorders>
            <w:shd w:val="clear" w:color="auto" w:fill="F7F7F7"/>
            <w:tcMar>
              <w:top w:w="75" w:type="dxa"/>
              <w:left w:w="75" w:type="dxa"/>
              <w:bottom w:w="75" w:type="dxa"/>
              <w:right w:w="75" w:type="dxa"/>
            </w:tcMar>
            <w:vAlign w:val="center"/>
            <w:hideMark/>
          </w:tcPr>
          <w:p w14:paraId="3C5BF2FC" w14:textId="4ABE893C" w:rsidR="00CD2E32" w:rsidRPr="00CD2E32" w:rsidRDefault="00CD2E32" w:rsidP="00CD2E32">
            <w:pPr>
              <w:rPr>
                <w:sz w:val="20"/>
                <w:szCs w:val="20"/>
              </w:rPr>
            </w:pPr>
            <w:r w:rsidRPr="00E96A64">
              <w:rPr>
                <w:sz w:val="20"/>
                <w:szCs w:val="20"/>
              </w:rPr>
              <w:drawing>
                <wp:inline distT="0" distB="0" distL="0" distR="0" wp14:anchorId="4EA68060" wp14:editId="1B44476C">
                  <wp:extent cx="476250" cy="476250"/>
                  <wp:effectExtent l="0" t="0" r="0" b="0"/>
                  <wp:docPr id="1556617041" name="Picture 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792" w:type="pct"/>
            <w:tcBorders>
              <w:top w:val="single" w:sz="6" w:space="0" w:color="CCCCCC"/>
              <w:left w:val="single" w:sz="6" w:space="0" w:color="CCCCCC"/>
              <w:bottom w:val="single" w:sz="6" w:space="0" w:color="CCCCCC"/>
              <w:right w:val="single" w:sz="6" w:space="0" w:color="CCCCCC"/>
            </w:tcBorders>
            <w:shd w:val="clear" w:color="auto" w:fill="F7F7F7"/>
            <w:tcMar>
              <w:top w:w="75" w:type="dxa"/>
              <w:left w:w="75" w:type="dxa"/>
              <w:bottom w:w="75" w:type="dxa"/>
              <w:right w:w="75" w:type="dxa"/>
            </w:tcMar>
            <w:vAlign w:val="center"/>
            <w:hideMark/>
          </w:tcPr>
          <w:p w14:paraId="2E8590C1" w14:textId="49D9028F" w:rsidR="00CD2E32" w:rsidRPr="00CD2E32" w:rsidRDefault="00CD2E32" w:rsidP="00CD2E32">
            <w:pPr>
              <w:rPr>
                <w:sz w:val="20"/>
                <w:szCs w:val="20"/>
              </w:rPr>
            </w:pPr>
            <w:r w:rsidRPr="00E96A64">
              <w:rPr>
                <w:sz w:val="20"/>
                <w:szCs w:val="20"/>
              </w:rPr>
              <w:drawing>
                <wp:inline distT="0" distB="0" distL="0" distR="0" wp14:anchorId="6497BEA9" wp14:editId="1E9A29DA">
                  <wp:extent cx="476250" cy="476250"/>
                  <wp:effectExtent l="0" t="0" r="0" b="0"/>
                  <wp:docPr id="432961684" name="Picture 7" descr="possi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ssibl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CD2E32">
              <w:rPr>
                <w:sz w:val="20"/>
                <w:szCs w:val="20"/>
              </w:rPr>
              <w:br/>
              <w:t>(limited)</w:t>
            </w:r>
          </w:p>
        </w:tc>
      </w:tr>
      <w:tr w:rsidR="00CD2E32" w:rsidRPr="00CD2E32" w14:paraId="086E844D" w14:textId="77777777" w:rsidTr="00CD2E32">
        <w:trPr>
          <w:trHeight w:val="855"/>
        </w:trPr>
        <w:tc>
          <w:tcPr>
            <w:tcW w:w="1507"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BDEA4F0" w14:textId="77777777" w:rsidR="00CD2E32" w:rsidRPr="00CD2E32" w:rsidRDefault="00CD2E32" w:rsidP="00CD2E32">
            <w:pPr>
              <w:rPr>
                <w:sz w:val="20"/>
                <w:szCs w:val="20"/>
              </w:rPr>
            </w:pPr>
            <w:r w:rsidRPr="00CD2E32">
              <w:rPr>
                <w:sz w:val="20"/>
                <w:szCs w:val="20"/>
              </w:rPr>
              <w:t>Fields Hidden via Action Tags </w:t>
            </w:r>
          </w:p>
        </w:tc>
        <w:tc>
          <w:tcPr>
            <w:tcW w:w="1968"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76A61E1" w14:textId="23693EA7" w:rsidR="00CD2E32" w:rsidRPr="00CD2E32" w:rsidRDefault="00CD2E32" w:rsidP="00CD2E32">
            <w:pPr>
              <w:rPr>
                <w:sz w:val="20"/>
                <w:szCs w:val="20"/>
              </w:rPr>
            </w:pPr>
            <w:r w:rsidRPr="00E96A64">
              <w:rPr>
                <w:sz w:val="20"/>
                <w:szCs w:val="20"/>
              </w:rPr>
              <w:drawing>
                <wp:inline distT="0" distB="0" distL="0" distR="0" wp14:anchorId="2C7A46CB" wp14:editId="331DF058">
                  <wp:extent cx="476250" cy="476250"/>
                  <wp:effectExtent l="0" t="0" r="0" b="0"/>
                  <wp:docPr id="1272883408" name="Picture 6"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733"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739D4A5" w14:textId="48D2FFF0" w:rsidR="00CD2E32" w:rsidRPr="00CD2E32" w:rsidRDefault="00CD2E32" w:rsidP="00CD2E32">
            <w:pPr>
              <w:rPr>
                <w:sz w:val="20"/>
                <w:szCs w:val="20"/>
              </w:rPr>
            </w:pPr>
            <w:r w:rsidRPr="00E96A64">
              <w:rPr>
                <w:sz w:val="20"/>
                <w:szCs w:val="20"/>
              </w:rPr>
              <w:drawing>
                <wp:inline distT="0" distB="0" distL="0" distR="0" wp14:anchorId="69FA94B6" wp14:editId="1A1F0560">
                  <wp:extent cx="476250" cy="476250"/>
                  <wp:effectExtent l="0" t="0" r="0" b="0"/>
                  <wp:docPr id="751078051" name="Picture 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79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09FAAF7" w14:textId="748F5A5E" w:rsidR="00CD2E32" w:rsidRPr="00CD2E32" w:rsidRDefault="00CD2E32" w:rsidP="00CD2E32">
            <w:pPr>
              <w:rPr>
                <w:sz w:val="20"/>
                <w:szCs w:val="20"/>
              </w:rPr>
            </w:pPr>
            <w:r w:rsidRPr="00E96A64">
              <w:rPr>
                <w:sz w:val="20"/>
                <w:szCs w:val="20"/>
              </w:rPr>
              <w:drawing>
                <wp:inline distT="0" distB="0" distL="0" distR="0" wp14:anchorId="4D280872" wp14:editId="77DAA5FE">
                  <wp:extent cx="476250" cy="476250"/>
                  <wp:effectExtent l="0" t="0" r="0" b="0"/>
                  <wp:docPr id="2138143214" name="Picture 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r w:rsidR="00CD2E32" w:rsidRPr="00CD2E32" w14:paraId="390A6C6A" w14:textId="77777777" w:rsidTr="00CD2E32">
        <w:trPr>
          <w:trHeight w:val="855"/>
        </w:trPr>
        <w:tc>
          <w:tcPr>
            <w:tcW w:w="1507" w:type="pct"/>
            <w:tcBorders>
              <w:top w:val="single" w:sz="6" w:space="0" w:color="CCCCCC"/>
              <w:left w:val="single" w:sz="6" w:space="0" w:color="CCCCCC"/>
              <w:bottom w:val="single" w:sz="6" w:space="0" w:color="CCCCCC"/>
              <w:right w:val="single" w:sz="6" w:space="0" w:color="CCCCCC"/>
            </w:tcBorders>
            <w:shd w:val="clear" w:color="auto" w:fill="F7F7F7"/>
            <w:tcMar>
              <w:top w:w="75" w:type="dxa"/>
              <w:left w:w="75" w:type="dxa"/>
              <w:bottom w:w="75" w:type="dxa"/>
              <w:right w:w="75" w:type="dxa"/>
            </w:tcMar>
            <w:vAlign w:val="center"/>
            <w:hideMark/>
          </w:tcPr>
          <w:p w14:paraId="12D624CA" w14:textId="77777777" w:rsidR="00CD2E32" w:rsidRPr="00CD2E32" w:rsidRDefault="00CD2E32" w:rsidP="00CD2E32">
            <w:pPr>
              <w:rPr>
                <w:sz w:val="20"/>
                <w:szCs w:val="20"/>
              </w:rPr>
            </w:pPr>
            <w:r w:rsidRPr="00CD2E32">
              <w:rPr>
                <w:sz w:val="20"/>
                <w:szCs w:val="20"/>
              </w:rPr>
              <w:t>Fields Hidden via Branching Logic</w:t>
            </w:r>
          </w:p>
        </w:tc>
        <w:tc>
          <w:tcPr>
            <w:tcW w:w="1968" w:type="pct"/>
            <w:tcBorders>
              <w:top w:val="single" w:sz="6" w:space="0" w:color="CCCCCC"/>
              <w:left w:val="single" w:sz="6" w:space="0" w:color="CCCCCC"/>
              <w:bottom w:val="single" w:sz="6" w:space="0" w:color="CCCCCC"/>
              <w:right w:val="single" w:sz="6" w:space="0" w:color="CCCCCC"/>
            </w:tcBorders>
            <w:shd w:val="clear" w:color="auto" w:fill="F7F7F7"/>
            <w:tcMar>
              <w:top w:w="75" w:type="dxa"/>
              <w:left w:w="75" w:type="dxa"/>
              <w:bottom w:w="75" w:type="dxa"/>
              <w:right w:w="75" w:type="dxa"/>
            </w:tcMar>
            <w:vAlign w:val="center"/>
            <w:hideMark/>
          </w:tcPr>
          <w:p w14:paraId="3C4E1BCF" w14:textId="79572D4E" w:rsidR="00CD2E32" w:rsidRPr="00CD2E32" w:rsidRDefault="00CD2E32" w:rsidP="00CD2E32">
            <w:pPr>
              <w:rPr>
                <w:sz w:val="20"/>
                <w:szCs w:val="20"/>
              </w:rPr>
            </w:pPr>
            <w:r w:rsidRPr="00E96A64">
              <w:rPr>
                <w:sz w:val="20"/>
                <w:szCs w:val="20"/>
              </w:rPr>
              <w:drawing>
                <wp:inline distT="0" distB="0" distL="0" distR="0" wp14:anchorId="13D8E0B2" wp14:editId="7EBB7093">
                  <wp:extent cx="476250" cy="476250"/>
                  <wp:effectExtent l="0" t="0" r="0" b="0"/>
                  <wp:docPr id="607874097" name="Picture 3"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733" w:type="pct"/>
            <w:tcBorders>
              <w:top w:val="single" w:sz="6" w:space="0" w:color="CCCCCC"/>
              <w:left w:val="single" w:sz="6" w:space="0" w:color="CCCCCC"/>
              <w:bottom w:val="single" w:sz="6" w:space="0" w:color="CCCCCC"/>
              <w:right w:val="single" w:sz="6" w:space="0" w:color="CCCCCC"/>
            </w:tcBorders>
            <w:shd w:val="clear" w:color="auto" w:fill="F7F7F7"/>
            <w:tcMar>
              <w:top w:w="75" w:type="dxa"/>
              <w:left w:w="75" w:type="dxa"/>
              <w:bottom w:w="75" w:type="dxa"/>
              <w:right w:w="75" w:type="dxa"/>
            </w:tcMar>
            <w:vAlign w:val="center"/>
            <w:hideMark/>
          </w:tcPr>
          <w:p w14:paraId="1B8D9BCC" w14:textId="78CB283E" w:rsidR="00CD2E32" w:rsidRPr="00CD2E32" w:rsidRDefault="00CD2E32" w:rsidP="00CD2E32">
            <w:pPr>
              <w:rPr>
                <w:sz w:val="20"/>
                <w:szCs w:val="20"/>
              </w:rPr>
            </w:pPr>
            <w:r w:rsidRPr="00E96A64">
              <w:rPr>
                <w:sz w:val="20"/>
                <w:szCs w:val="20"/>
              </w:rPr>
              <w:drawing>
                <wp:inline distT="0" distB="0" distL="0" distR="0" wp14:anchorId="0230D9FF" wp14:editId="12AFD643">
                  <wp:extent cx="476250" cy="476250"/>
                  <wp:effectExtent l="0" t="0" r="0" b="0"/>
                  <wp:docPr id="1506651059" name="Picture 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792" w:type="pct"/>
            <w:tcBorders>
              <w:top w:val="single" w:sz="6" w:space="0" w:color="CCCCCC"/>
              <w:left w:val="single" w:sz="6" w:space="0" w:color="CCCCCC"/>
              <w:bottom w:val="single" w:sz="6" w:space="0" w:color="CCCCCC"/>
              <w:right w:val="single" w:sz="6" w:space="0" w:color="CCCCCC"/>
            </w:tcBorders>
            <w:shd w:val="clear" w:color="auto" w:fill="F7F7F7"/>
            <w:tcMar>
              <w:top w:w="75" w:type="dxa"/>
              <w:left w:w="75" w:type="dxa"/>
              <w:bottom w:w="75" w:type="dxa"/>
              <w:right w:w="75" w:type="dxa"/>
            </w:tcMar>
            <w:vAlign w:val="center"/>
            <w:hideMark/>
          </w:tcPr>
          <w:p w14:paraId="229E96C3" w14:textId="536BB8D2" w:rsidR="00CD2E32" w:rsidRPr="00CD2E32" w:rsidRDefault="00CD2E32" w:rsidP="00CD2E32">
            <w:pPr>
              <w:rPr>
                <w:sz w:val="20"/>
                <w:szCs w:val="20"/>
              </w:rPr>
            </w:pPr>
            <w:r w:rsidRPr="00E96A64">
              <w:rPr>
                <w:sz w:val="20"/>
                <w:szCs w:val="20"/>
              </w:rPr>
              <w:drawing>
                <wp:inline distT="0" distB="0" distL="0" distR="0" wp14:anchorId="2727AA22" wp14:editId="1C375B22">
                  <wp:extent cx="476250" cy="476250"/>
                  <wp:effectExtent l="0" t="0" r="0" b="0"/>
                  <wp:docPr id="354068979" name="Picture 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bl>
    <w:p w14:paraId="5FEDF37A" w14:textId="447AA732" w:rsidR="00CD2E32" w:rsidRPr="00CD2E32" w:rsidRDefault="00CD2E32" w:rsidP="00CD2E32">
      <w:pPr>
        <w:rPr>
          <w:b/>
          <w:bCs/>
        </w:rPr>
      </w:pPr>
    </w:p>
    <w:p w14:paraId="60227CD7" w14:textId="77777777" w:rsidR="002D49FB" w:rsidRDefault="002D49FB"/>
    <w:sectPr w:rsidR="002D49FB" w:rsidSect="001376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E2315"/>
    <w:multiLevelType w:val="multilevel"/>
    <w:tmpl w:val="00DE98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7B7948"/>
    <w:multiLevelType w:val="multilevel"/>
    <w:tmpl w:val="00DE98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30318D"/>
    <w:multiLevelType w:val="multilevel"/>
    <w:tmpl w:val="37089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4151A3"/>
    <w:multiLevelType w:val="multilevel"/>
    <w:tmpl w:val="1B8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6762840">
    <w:abstractNumId w:val="3"/>
  </w:num>
  <w:num w:numId="2" w16cid:durableId="1959751393">
    <w:abstractNumId w:val="0"/>
  </w:num>
  <w:num w:numId="3" w16cid:durableId="273904260">
    <w:abstractNumId w:val="1"/>
  </w:num>
  <w:num w:numId="4" w16cid:durableId="1455127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45"/>
    <w:rsid w:val="00026B45"/>
    <w:rsid w:val="00095D06"/>
    <w:rsid w:val="00137602"/>
    <w:rsid w:val="001C3F45"/>
    <w:rsid w:val="001C519E"/>
    <w:rsid w:val="0027627D"/>
    <w:rsid w:val="002D49FB"/>
    <w:rsid w:val="00304843"/>
    <w:rsid w:val="004565EC"/>
    <w:rsid w:val="004E3A5A"/>
    <w:rsid w:val="00656131"/>
    <w:rsid w:val="00777C7C"/>
    <w:rsid w:val="0080447F"/>
    <w:rsid w:val="009C49E7"/>
    <w:rsid w:val="00AA3ACF"/>
    <w:rsid w:val="00CD2E32"/>
    <w:rsid w:val="00CD7C05"/>
    <w:rsid w:val="00E8275D"/>
    <w:rsid w:val="00E9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B153"/>
  <w15:chartTrackingRefBased/>
  <w15:docId w15:val="{979BD65B-0427-4821-AD6A-CDE5DB55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C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6A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6A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96A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F45"/>
    <w:rPr>
      <w:color w:val="0563C1" w:themeColor="hyperlink"/>
      <w:u w:val="single"/>
    </w:rPr>
  </w:style>
  <w:style w:type="character" w:styleId="UnresolvedMention">
    <w:name w:val="Unresolved Mention"/>
    <w:basedOn w:val="DefaultParagraphFont"/>
    <w:uiPriority w:val="99"/>
    <w:semiHidden/>
    <w:unhideWhenUsed/>
    <w:rsid w:val="001C3F45"/>
    <w:rPr>
      <w:color w:val="605E5C"/>
      <w:shd w:val="clear" w:color="auto" w:fill="E1DFDD"/>
    </w:rPr>
  </w:style>
  <w:style w:type="character" w:styleId="FollowedHyperlink">
    <w:name w:val="FollowedHyperlink"/>
    <w:basedOn w:val="DefaultParagraphFont"/>
    <w:uiPriority w:val="99"/>
    <w:semiHidden/>
    <w:unhideWhenUsed/>
    <w:rsid w:val="004E3A5A"/>
    <w:rPr>
      <w:color w:val="954F72" w:themeColor="followedHyperlink"/>
      <w:u w:val="single"/>
    </w:rPr>
  </w:style>
  <w:style w:type="paragraph" w:styleId="NormalWeb">
    <w:name w:val="Normal (Web)"/>
    <w:basedOn w:val="Normal"/>
    <w:uiPriority w:val="99"/>
    <w:semiHidden/>
    <w:unhideWhenUsed/>
    <w:rsid w:val="00026B45"/>
    <w:pPr>
      <w:spacing w:before="100" w:beforeAutospacing="1" w:after="100" w:afterAutospacing="1" w:line="240" w:lineRule="auto"/>
    </w:pPr>
    <w:rPr>
      <w:rFonts w:ascii="Calibri" w:hAnsi="Calibri" w:cs="Calibri"/>
      <w:kern w:val="0"/>
      <w14:ligatures w14:val="none"/>
    </w:rPr>
  </w:style>
  <w:style w:type="character" w:customStyle="1" w:styleId="Heading1Char">
    <w:name w:val="Heading 1 Char"/>
    <w:basedOn w:val="DefaultParagraphFont"/>
    <w:link w:val="Heading1"/>
    <w:uiPriority w:val="9"/>
    <w:rsid w:val="00777C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6A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96A6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96A6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91241">
      <w:bodyDiv w:val="1"/>
      <w:marLeft w:val="0"/>
      <w:marRight w:val="0"/>
      <w:marTop w:val="0"/>
      <w:marBottom w:val="0"/>
      <w:divBdr>
        <w:top w:val="none" w:sz="0" w:space="0" w:color="auto"/>
        <w:left w:val="none" w:sz="0" w:space="0" w:color="auto"/>
        <w:bottom w:val="none" w:sz="0" w:space="0" w:color="auto"/>
        <w:right w:val="none" w:sz="0" w:space="0" w:color="auto"/>
      </w:divBdr>
      <w:divsChild>
        <w:div w:id="75174829">
          <w:marLeft w:val="0"/>
          <w:marRight w:val="0"/>
          <w:marTop w:val="0"/>
          <w:marBottom w:val="0"/>
          <w:divBdr>
            <w:top w:val="none" w:sz="0" w:space="0" w:color="auto"/>
            <w:left w:val="none" w:sz="0" w:space="0" w:color="auto"/>
            <w:bottom w:val="none" w:sz="0" w:space="0" w:color="auto"/>
            <w:right w:val="none" w:sz="0" w:space="0" w:color="auto"/>
          </w:divBdr>
        </w:div>
        <w:div w:id="1778254315">
          <w:marLeft w:val="600"/>
          <w:marRight w:val="600"/>
          <w:marTop w:val="0"/>
          <w:marBottom w:val="0"/>
          <w:divBdr>
            <w:top w:val="none" w:sz="0" w:space="0" w:color="auto"/>
            <w:left w:val="single" w:sz="6" w:space="11" w:color="BBBBBB"/>
            <w:bottom w:val="single" w:sz="6" w:space="11" w:color="BBBBBB"/>
            <w:right w:val="single" w:sz="6" w:space="11" w:color="BBBBBB"/>
          </w:divBdr>
        </w:div>
        <w:div w:id="622928648">
          <w:marLeft w:val="0"/>
          <w:marRight w:val="0"/>
          <w:marTop w:val="0"/>
          <w:marBottom w:val="0"/>
          <w:divBdr>
            <w:top w:val="none" w:sz="0" w:space="0" w:color="auto"/>
            <w:left w:val="none" w:sz="0" w:space="0" w:color="auto"/>
            <w:bottom w:val="none" w:sz="0" w:space="0" w:color="auto"/>
            <w:right w:val="none" w:sz="0" w:space="0" w:color="auto"/>
          </w:divBdr>
        </w:div>
      </w:divsChild>
    </w:div>
    <w:div w:id="697898592">
      <w:bodyDiv w:val="1"/>
      <w:marLeft w:val="0"/>
      <w:marRight w:val="0"/>
      <w:marTop w:val="0"/>
      <w:marBottom w:val="0"/>
      <w:divBdr>
        <w:top w:val="none" w:sz="0" w:space="0" w:color="auto"/>
        <w:left w:val="none" w:sz="0" w:space="0" w:color="auto"/>
        <w:bottom w:val="none" w:sz="0" w:space="0" w:color="auto"/>
        <w:right w:val="none" w:sz="0" w:space="0" w:color="auto"/>
      </w:divBdr>
    </w:div>
    <w:div w:id="713231414">
      <w:bodyDiv w:val="1"/>
      <w:marLeft w:val="0"/>
      <w:marRight w:val="0"/>
      <w:marTop w:val="0"/>
      <w:marBottom w:val="0"/>
      <w:divBdr>
        <w:top w:val="none" w:sz="0" w:space="0" w:color="auto"/>
        <w:left w:val="none" w:sz="0" w:space="0" w:color="auto"/>
        <w:bottom w:val="none" w:sz="0" w:space="0" w:color="auto"/>
        <w:right w:val="none" w:sz="0" w:space="0" w:color="auto"/>
      </w:divBdr>
    </w:div>
    <w:div w:id="1230648387">
      <w:bodyDiv w:val="1"/>
      <w:marLeft w:val="0"/>
      <w:marRight w:val="0"/>
      <w:marTop w:val="0"/>
      <w:marBottom w:val="0"/>
      <w:divBdr>
        <w:top w:val="none" w:sz="0" w:space="0" w:color="auto"/>
        <w:left w:val="none" w:sz="0" w:space="0" w:color="auto"/>
        <w:bottom w:val="none" w:sz="0" w:space="0" w:color="auto"/>
        <w:right w:val="none" w:sz="0" w:space="0" w:color="auto"/>
      </w:divBdr>
      <w:divsChild>
        <w:div w:id="468668773">
          <w:marLeft w:val="0"/>
          <w:marRight w:val="0"/>
          <w:marTop w:val="0"/>
          <w:marBottom w:val="0"/>
          <w:divBdr>
            <w:top w:val="none" w:sz="0" w:space="0" w:color="auto"/>
            <w:left w:val="none" w:sz="0" w:space="0" w:color="auto"/>
            <w:bottom w:val="none" w:sz="0" w:space="0" w:color="auto"/>
            <w:right w:val="none" w:sz="0" w:space="0" w:color="auto"/>
          </w:divBdr>
        </w:div>
        <w:div w:id="1056275733">
          <w:marLeft w:val="600"/>
          <w:marRight w:val="600"/>
          <w:marTop w:val="0"/>
          <w:marBottom w:val="0"/>
          <w:divBdr>
            <w:top w:val="none" w:sz="0" w:space="0" w:color="auto"/>
            <w:left w:val="single" w:sz="6" w:space="11" w:color="BBBBBB"/>
            <w:bottom w:val="single" w:sz="6" w:space="11" w:color="BBBBBB"/>
            <w:right w:val="single" w:sz="6" w:space="11" w:color="BBBBBB"/>
          </w:divBdr>
        </w:div>
        <w:div w:id="1131170880">
          <w:marLeft w:val="0"/>
          <w:marRight w:val="0"/>
          <w:marTop w:val="0"/>
          <w:marBottom w:val="0"/>
          <w:divBdr>
            <w:top w:val="none" w:sz="0" w:space="0" w:color="auto"/>
            <w:left w:val="none" w:sz="0" w:space="0" w:color="auto"/>
            <w:bottom w:val="none" w:sz="0" w:space="0" w:color="auto"/>
            <w:right w:val="none" w:sz="0" w:space="0" w:color="auto"/>
          </w:divBdr>
        </w:div>
      </w:divsChild>
    </w:div>
    <w:div w:id="1422292356">
      <w:bodyDiv w:val="1"/>
      <w:marLeft w:val="0"/>
      <w:marRight w:val="0"/>
      <w:marTop w:val="0"/>
      <w:marBottom w:val="0"/>
      <w:divBdr>
        <w:top w:val="none" w:sz="0" w:space="0" w:color="auto"/>
        <w:left w:val="none" w:sz="0" w:space="0" w:color="auto"/>
        <w:bottom w:val="none" w:sz="0" w:space="0" w:color="auto"/>
        <w:right w:val="none" w:sz="0" w:space="0" w:color="auto"/>
      </w:divBdr>
      <w:divsChild>
        <w:div w:id="224874500">
          <w:marLeft w:val="0"/>
          <w:marRight w:val="0"/>
          <w:marTop w:val="0"/>
          <w:marBottom w:val="0"/>
          <w:divBdr>
            <w:top w:val="none" w:sz="0" w:space="0" w:color="auto"/>
            <w:left w:val="none" w:sz="0" w:space="0" w:color="auto"/>
            <w:bottom w:val="none" w:sz="0" w:space="0" w:color="auto"/>
            <w:right w:val="none" w:sz="0" w:space="0" w:color="auto"/>
          </w:divBdr>
          <w:divsChild>
            <w:div w:id="1783111727">
              <w:marLeft w:val="0"/>
              <w:marRight w:val="0"/>
              <w:marTop w:val="105"/>
              <w:marBottom w:val="0"/>
              <w:divBdr>
                <w:top w:val="none" w:sz="0" w:space="8" w:color="9B0000"/>
                <w:left w:val="none" w:sz="0" w:space="11" w:color="9B0000"/>
                <w:bottom w:val="single" w:sz="6" w:space="8" w:color="9B0000"/>
                <w:right w:val="none" w:sz="0" w:space="11" w:color="9B0000"/>
              </w:divBdr>
            </w:div>
            <w:div w:id="936863392">
              <w:marLeft w:val="0"/>
              <w:marRight w:val="0"/>
              <w:marTop w:val="0"/>
              <w:marBottom w:val="0"/>
              <w:divBdr>
                <w:top w:val="single" w:sz="6" w:space="8" w:color="DADFE1"/>
                <w:left w:val="single" w:sz="6" w:space="11" w:color="DADFE1"/>
                <w:bottom w:val="single" w:sz="6" w:space="8" w:color="DADFE1"/>
                <w:right w:val="single" w:sz="6" w:space="11" w:color="DADFE1"/>
              </w:divBdr>
            </w:div>
            <w:div w:id="1068580278">
              <w:marLeft w:val="0"/>
              <w:marRight w:val="0"/>
              <w:marTop w:val="0"/>
              <w:marBottom w:val="0"/>
              <w:divBdr>
                <w:top w:val="none" w:sz="0" w:space="0" w:color="auto"/>
                <w:left w:val="none" w:sz="0" w:space="0" w:color="auto"/>
                <w:bottom w:val="none" w:sz="0" w:space="0" w:color="auto"/>
                <w:right w:val="none" w:sz="0" w:space="0" w:color="auto"/>
              </w:divBdr>
              <w:divsChild>
                <w:div w:id="494805498">
                  <w:marLeft w:val="0"/>
                  <w:marRight w:val="0"/>
                  <w:marTop w:val="105"/>
                  <w:marBottom w:val="0"/>
                  <w:divBdr>
                    <w:top w:val="none" w:sz="0" w:space="8" w:color="9B0000"/>
                    <w:left w:val="none" w:sz="0" w:space="11" w:color="9B0000"/>
                    <w:bottom w:val="single" w:sz="6" w:space="8" w:color="9B0000"/>
                    <w:right w:val="none" w:sz="0" w:space="11" w:color="9B0000"/>
                  </w:divBdr>
                </w:div>
                <w:div w:id="117191113">
                  <w:marLeft w:val="0"/>
                  <w:marRight w:val="0"/>
                  <w:marTop w:val="0"/>
                  <w:marBottom w:val="0"/>
                  <w:divBdr>
                    <w:top w:val="single" w:sz="6" w:space="8" w:color="DADFE1"/>
                    <w:left w:val="single" w:sz="6" w:space="11" w:color="DADFE1"/>
                    <w:bottom w:val="single" w:sz="6" w:space="8" w:color="DADFE1"/>
                    <w:right w:val="single" w:sz="6" w:space="11" w:color="DADFE1"/>
                  </w:divBdr>
                </w:div>
                <w:div w:id="1667247712">
                  <w:marLeft w:val="0"/>
                  <w:marRight w:val="0"/>
                  <w:marTop w:val="0"/>
                  <w:marBottom w:val="0"/>
                  <w:divBdr>
                    <w:top w:val="none" w:sz="0" w:space="0" w:color="auto"/>
                    <w:left w:val="none" w:sz="0" w:space="0" w:color="auto"/>
                    <w:bottom w:val="none" w:sz="0" w:space="0" w:color="auto"/>
                    <w:right w:val="none" w:sz="0" w:space="0" w:color="auto"/>
                  </w:divBdr>
                  <w:divsChild>
                    <w:div w:id="2008172769">
                      <w:marLeft w:val="0"/>
                      <w:marRight w:val="0"/>
                      <w:marTop w:val="105"/>
                      <w:marBottom w:val="0"/>
                      <w:divBdr>
                        <w:top w:val="none" w:sz="0" w:space="8" w:color="9B0000"/>
                        <w:left w:val="none" w:sz="0" w:space="11" w:color="9B0000"/>
                        <w:bottom w:val="single" w:sz="6" w:space="8" w:color="9B0000"/>
                        <w:right w:val="none" w:sz="0" w:space="11" w:color="9B0000"/>
                      </w:divBdr>
                    </w:div>
                    <w:div w:id="1801730218">
                      <w:marLeft w:val="0"/>
                      <w:marRight w:val="0"/>
                      <w:marTop w:val="0"/>
                      <w:marBottom w:val="0"/>
                      <w:divBdr>
                        <w:top w:val="single" w:sz="6" w:space="8" w:color="DADFE1"/>
                        <w:left w:val="single" w:sz="6" w:space="11" w:color="DADFE1"/>
                        <w:bottom w:val="single" w:sz="6" w:space="8" w:color="DADFE1"/>
                        <w:right w:val="single" w:sz="6" w:space="11" w:color="DADFE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iew.officeapps.live.com/op/view.aspx?src=https%3A%2F%2Fhealth.uconn.edu%2Fclinical-research-center%2Fwp-content%2Fuploads%2Fsites%2F50%2F2024%2F09%2FUser-Rights-Definitions.docx&amp;wdOrigin=BROWSELINK"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view.officeapps.live.com/op/view.aspx?src=https%3A%2F%2Fhealth.uconn.edu%2Fclinical-research-center%2Fwp-content%2Fuploads%2Fsites%2F50%2F2024%2F11%2FSmart-Variables_11.19.2024.docx&amp;wdOrigin=BROWSELI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hyperlink" Target="https://www.sciencedirect.com/science/article/pii/S1532046418301345?via%3Dihub" TargetMode="External"/><Relationship Id="rId14" Type="http://schemas.openxmlformats.org/officeDocument/2006/relationships/hyperlink" Target="https://view.officeapps.live.com/op/view.aspx?src=https%3A%2F%2Fhealth.uconn.edu%2Fclinical-research-center%2Fwp-content%2Fuploads%2Fsites%2F50%2F2024%2F09%2FUser-Rights-Definitions.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24707a-3787-46be-9376-aac715c8de20">
      <Terms xmlns="http://schemas.microsoft.com/office/infopath/2007/PartnerControls"/>
    </lcf76f155ced4ddcb4097134ff3c332f>
    <TaxCatchAll xmlns="4b022a6b-7f7d-4025-99a0-e5dc46495d1e" xsi:nil="true"/>
    <Date xmlns="b624707a-3787-46be-9376-aac715c8de20" xsi:nil="true"/>
    <ProjectID xmlns="b624707a-3787-46be-9376-aac715c8de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228451808D8D4AAFB17224528D6739" ma:contentTypeVersion="16" ma:contentTypeDescription="Create a new document." ma:contentTypeScope="" ma:versionID="fd478616b02b8bedf94af2ccaa41e03d">
  <xsd:schema xmlns:xsd="http://www.w3.org/2001/XMLSchema" xmlns:xs="http://www.w3.org/2001/XMLSchema" xmlns:p="http://schemas.microsoft.com/office/2006/metadata/properties" xmlns:ns2="b624707a-3787-46be-9376-aac715c8de20" xmlns:ns3="4b022a6b-7f7d-4025-99a0-e5dc46495d1e" targetNamespace="http://schemas.microsoft.com/office/2006/metadata/properties" ma:root="true" ma:fieldsID="429ef5bb10b52c6d0dff5a15d349edbc" ns2:_="" ns3:_="">
    <xsd:import namespace="b624707a-3787-46be-9376-aac715c8de20"/>
    <xsd:import namespace="4b022a6b-7f7d-4025-99a0-e5dc46495d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Date" minOccurs="0"/>
                <xsd:element ref="ns2:ProjectID"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4707a-3787-46be-9376-aac715c8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23ba09-1520-432c-8078-5bf6a4e799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ProjectID" ma:index="21" nillable="true" ma:displayName="Project ID" ma:format="Dropdown" ma:internalName="ProjectID">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22a6b-7f7d-4025-99a0-e5dc46495d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7c9a325-4b27-4c12-9844-269895b8ca80}" ma:internalName="TaxCatchAll" ma:showField="CatchAllData" ma:web="4b022a6b-7f7d-4025-99a0-e5dc46495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38E41-3C11-4D85-AD03-43AB739EA651}">
  <ds:schemaRefs>
    <ds:schemaRef ds:uri="http://schemas.microsoft.com/office/2006/metadata/properties"/>
    <ds:schemaRef ds:uri="http://schemas.microsoft.com/office/infopath/2007/PartnerControls"/>
    <ds:schemaRef ds:uri="b624707a-3787-46be-9376-aac715c8de20"/>
    <ds:schemaRef ds:uri="4b022a6b-7f7d-4025-99a0-e5dc46495d1e"/>
  </ds:schemaRefs>
</ds:datastoreItem>
</file>

<file path=customXml/itemProps2.xml><?xml version="1.0" encoding="utf-8"?>
<ds:datastoreItem xmlns:ds="http://schemas.openxmlformats.org/officeDocument/2006/customXml" ds:itemID="{62F4EB7F-CC3A-4CE5-B232-D643AA74CD55}">
  <ds:schemaRefs>
    <ds:schemaRef ds:uri="http://schemas.microsoft.com/sharepoint/v3/contenttype/forms"/>
  </ds:schemaRefs>
</ds:datastoreItem>
</file>

<file path=customXml/itemProps3.xml><?xml version="1.0" encoding="utf-8"?>
<ds:datastoreItem xmlns:ds="http://schemas.openxmlformats.org/officeDocument/2006/customXml" ds:itemID="{14984596-C94C-4CE8-AE2D-D26BFED9B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4707a-3787-46be-9376-aac715c8de20"/>
    <ds:schemaRef ds:uri="4b022a6b-7f7d-4025-99a0-e5dc46495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5</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Chapps,Melissa A.</dc:creator>
  <cp:keywords/>
  <dc:description/>
  <cp:lastModifiedBy>Chapps,Melissa A.</cp:lastModifiedBy>
  <cp:revision>10</cp:revision>
  <cp:lastPrinted>2023-07-10T13:19:00Z</cp:lastPrinted>
  <dcterms:created xsi:type="dcterms:W3CDTF">2023-06-16T11:57:00Z</dcterms:created>
  <dcterms:modified xsi:type="dcterms:W3CDTF">2024-11-19T17:42:00Z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26a48f49-794d-4adb-89ac-d05894ddfe61</vt:lpwstr>
  </property>
  <property fmtid="{D5CDD505-2E9C-101B-9397-08002B2CF9AE}" pid="3" name="ContentTypeId">
    <vt:lpwstr>0x010100D4228451808D8D4AAFB17224528D6739</vt:lpwstr>
  </property>
  <property fmtid="{D5CDD505-2E9C-101B-9397-08002B2CF9AE}" pid="4" name="Order">
    <vt:r8>6400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